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8065D88" w:rsidP="00F20017" w:rsidRDefault="28065D88" w14:paraId="3FB4BDD0" w14:textId="794D12CE">
      <w:pPr>
        <w:spacing w:after="0" w:line="240" w:lineRule="auto"/>
        <w:jc w:val="both"/>
        <w:rPr>
          <w:rFonts w:ascii="Calibri" w:hAnsi="Calibri" w:eastAsia="Times New Roman" w:cs="Calibri"/>
          <w:b/>
          <w:bCs/>
          <w:color w:val="000000" w:themeColor="text1"/>
        </w:rPr>
      </w:pPr>
      <w:r w:rsidRPr="00BC34BA">
        <w:rPr>
          <w:rFonts w:ascii="Calibri" w:hAnsi="Calibri" w:eastAsia="Times New Roman" w:cs="Calibri"/>
          <w:b/>
          <w:bCs/>
          <w:i/>
          <w:iCs/>
          <w:color w:val="000000" w:themeColor="text1"/>
        </w:rPr>
        <w:t>Benchmarking Infrastructure 202</w:t>
      </w:r>
      <w:r w:rsidR="00D33DA1">
        <w:rPr>
          <w:rFonts w:ascii="Calibri" w:hAnsi="Calibri" w:eastAsia="Times New Roman" w:cs="Calibri"/>
          <w:b/>
          <w:bCs/>
          <w:i/>
          <w:iCs/>
          <w:color w:val="000000" w:themeColor="text1"/>
        </w:rPr>
        <w:t>3</w:t>
      </w:r>
    </w:p>
    <w:p w:rsidR="28065D88" w:rsidP="00F20017" w:rsidRDefault="28065D88" w14:paraId="60C22A2F" w14:textId="2F2E1BFC">
      <w:pPr>
        <w:spacing w:after="0" w:line="240" w:lineRule="auto"/>
        <w:jc w:val="both"/>
        <w:rPr>
          <w:rFonts w:ascii="Calibri" w:hAnsi="Calibri" w:eastAsia="Times New Roman" w:cs="Calibri"/>
          <w:b/>
          <w:bCs/>
          <w:color w:val="000000" w:themeColor="text1"/>
        </w:rPr>
      </w:pPr>
      <w:r w:rsidRPr="4646E240">
        <w:rPr>
          <w:rFonts w:ascii="Calibri" w:hAnsi="Calibri" w:eastAsia="Times New Roman" w:cs="Calibri"/>
          <w:b/>
          <w:bCs/>
          <w:color w:val="000000" w:themeColor="text1"/>
        </w:rPr>
        <w:t>Public</w:t>
      </w:r>
      <w:r w:rsidR="009B4FAE">
        <w:rPr>
          <w:rFonts w:ascii="Calibri" w:hAnsi="Calibri" w:eastAsia="Times New Roman" w:cs="Calibri"/>
          <w:b/>
          <w:bCs/>
          <w:color w:val="000000" w:themeColor="text1"/>
        </w:rPr>
        <w:t>-</w:t>
      </w:r>
      <w:r w:rsidRPr="4646E240">
        <w:rPr>
          <w:rFonts w:ascii="Calibri" w:hAnsi="Calibri" w:eastAsia="Times New Roman" w:cs="Calibri"/>
          <w:b/>
          <w:bCs/>
          <w:color w:val="000000" w:themeColor="text1"/>
        </w:rPr>
        <w:t>Private Partnerships (PPP</w:t>
      </w:r>
      <w:r w:rsidR="009B4FAE">
        <w:rPr>
          <w:rFonts w:ascii="Calibri" w:hAnsi="Calibri" w:eastAsia="Times New Roman" w:cs="Calibri"/>
          <w:b/>
          <w:bCs/>
          <w:color w:val="000000" w:themeColor="text1"/>
        </w:rPr>
        <w:t>s</w:t>
      </w:r>
      <w:r w:rsidRPr="4646E240">
        <w:rPr>
          <w:rFonts w:ascii="Calibri" w:hAnsi="Calibri" w:eastAsia="Times New Roman" w:cs="Calibri"/>
          <w:b/>
          <w:bCs/>
          <w:color w:val="000000" w:themeColor="text1"/>
        </w:rPr>
        <w:t>) Scoring Methodology</w:t>
      </w:r>
    </w:p>
    <w:p w:rsidR="4646E240" w:rsidP="00F20017" w:rsidRDefault="4646E240" w14:paraId="5F85C5F2" w14:textId="13453680">
      <w:pPr>
        <w:spacing w:after="0" w:line="240" w:lineRule="auto"/>
        <w:jc w:val="both"/>
      </w:pPr>
    </w:p>
    <w:tbl>
      <w:tblPr>
        <w:tblW w:w="100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65"/>
        <w:gridCol w:w="4099"/>
        <w:gridCol w:w="4311"/>
      </w:tblGrid>
      <w:tr w:rsidRPr="0022505F" w:rsidR="00700C6A" w:rsidTr="52DA50DD" w14:paraId="4A71B181" w14:textId="77777777">
        <w:trPr>
          <w:trHeight w:val="900"/>
        </w:trPr>
        <w:tc>
          <w:tcPr>
            <w:tcW w:w="1665" w:type="dxa"/>
            <w:shd w:val="clear" w:color="auto" w:fill="E7E6E6" w:themeFill="background2"/>
            <w:tcMar/>
            <w:vAlign w:val="center"/>
            <w:hideMark/>
          </w:tcPr>
          <w:p w:rsidRPr="0022505F" w:rsidR="00700C6A" w:rsidP="00F20017" w:rsidRDefault="00700C6A" w14:paraId="3143F99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Thematic Area</w:t>
            </w:r>
          </w:p>
        </w:tc>
        <w:tc>
          <w:tcPr>
            <w:tcW w:w="4099" w:type="dxa"/>
            <w:shd w:val="clear" w:color="auto" w:fill="E7E6E6" w:themeFill="background2"/>
            <w:tcMar/>
            <w:vAlign w:val="center"/>
            <w:hideMark/>
          </w:tcPr>
          <w:p w:rsidRPr="0022505F" w:rsidR="00700C6A" w:rsidP="00F20017" w:rsidRDefault="00700C6A" w14:paraId="17CA58B7" w14:textId="16F46319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What is </w:t>
            </w: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M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easured</w:t>
            </w:r>
          </w:p>
        </w:tc>
        <w:tc>
          <w:tcPr>
            <w:tcW w:w="4311" w:type="dxa"/>
            <w:shd w:val="clear" w:color="auto" w:fill="E7E6E6" w:themeFill="background2"/>
            <w:tcMar/>
            <w:vAlign w:val="center"/>
            <w:hideMark/>
          </w:tcPr>
          <w:p w:rsidRPr="0022505F" w:rsidR="00700C6A" w:rsidP="00F20017" w:rsidRDefault="00700C6A" w14:paraId="48BA35ED" w14:textId="388A73AD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How it is </w:t>
            </w: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cored</w:t>
            </w:r>
          </w:p>
        </w:tc>
      </w:tr>
      <w:tr w:rsidRPr="0022505F" w:rsidR="00700C6A" w:rsidTr="52DA50DD" w14:paraId="3E96F0D2" w14:textId="77777777">
        <w:trPr>
          <w:trHeight w:val="900"/>
        </w:trPr>
        <w:tc>
          <w:tcPr>
            <w:tcW w:w="1665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6B36C7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Preparation</w:t>
            </w: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C55F451" w14:textId="05744EC5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Ministry of Finance or central budgetary authority approves the PPP project before launching the procurement process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88A996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10AC9156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FA17C9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135473B" w14:textId="59FE9842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A second approval by the Ministry of Finance or central budgetary authority is required before signing the PPP contract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3FA79D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50E61B59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750527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F790209" w14:textId="6AF934DA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Fiscal treatment of PPPs (budgetary, accounting</w:t>
            </w:r>
            <w:r w:rsidR="00F17170"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and/or reporting treatment of PPPs)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="009A542A" w:rsidP="00F20017" w:rsidRDefault="00700C6A" w14:paraId="66EED05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0.33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for each of the following: 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t>PPP Budgeting</w:t>
            </w:r>
          </w:p>
          <w:p w:rsidRPr="0022505F" w:rsidR="00700C6A" w:rsidP="00F20017" w:rsidRDefault="00700C6A" w14:paraId="10500CCE" w14:textId="65FA79F1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5AEAD57F">
              <w:rPr>
                <w:rFonts w:ascii="Calibri" w:hAnsi="Calibri" w:eastAsia="Times New Roman" w:cs="Calibri"/>
                <w:color w:val="000000" w:themeColor="text1"/>
              </w:rPr>
              <w:t>PPP Reporting</w:t>
            </w:r>
            <w:r>
              <w:br/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>PPP Accounting</w:t>
            </w:r>
          </w:p>
        </w:tc>
      </w:tr>
      <w:tr w:rsidRPr="0022505F" w:rsidR="00700C6A" w:rsidTr="52DA50DD" w14:paraId="61BA7F7C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6B416B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65D7A40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1CBD441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1300DA71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AB9915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4C0A640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45ACC9D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1857C131" w14:textId="77777777">
        <w:trPr>
          <w:trHeight w:val="18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2C8E3D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FD87656" w14:textId="5A57DC10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Prioritization of PPP projects with all other public investment projects (for example, in the context of a national public investment system) to ensure consistency of PPPs with other public investment priorities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E40779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1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a specific procedure is detailed in the regulatory framework.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0.5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consistency is required only as a general principle.</w:t>
            </w:r>
          </w:p>
        </w:tc>
      </w:tr>
      <w:tr w:rsidRPr="0022505F" w:rsidR="00700C6A" w:rsidTr="52DA50DD" w14:paraId="7FD89D77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799B2AE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50C998F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60FD11D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26D3290E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41DD8A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80DC41A" w14:textId="77A227C1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Socioeconomic analysis (cost-benefit analysis of the socioeconomic impact of the project)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3290B30" w14:textId="5548269E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required</w:t>
            </w:r>
            <w:r w:rsidR="004E5708"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and a specific methodology has been developed.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0.5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required</w:t>
            </w:r>
            <w:r w:rsidR="00195D37"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but no specific methodology has been developed.</w:t>
            </w:r>
          </w:p>
        </w:tc>
      </w:tr>
      <w:tr w:rsidRPr="0022505F" w:rsidR="00700C6A" w:rsidTr="52DA50DD" w14:paraId="5391A42C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DDAC87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1D4A4B6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463BD97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7DDAE07C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55410B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5111A09" w14:textId="22DBFE11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Fiscal affordability assessment, including the identification of the required long-term public commitments (explicit and implicit)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C20ACE8" w14:textId="38D4FB26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required</w:t>
            </w:r>
            <w:r w:rsidR="004E5708"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and a specific methodology has been developed.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0.5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required</w:t>
            </w:r>
            <w:r w:rsidR="00C57907"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but no specific methodology has been developed.</w:t>
            </w:r>
          </w:p>
        </w:tc>
      </w:tr>
      <w:tr w:rsidRPr="0022505F" w:rsidR="00700C6A" w:rsidTr="52DA50DD" w14:paraId="73EF9CB4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50E2EA3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2C40DCE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4F688E3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1463FB3F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A5B960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696A4D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Risk identification, allocation, and assessment (risk matrix)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C3F9FD4" w14:textId="4FDEA236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required</w:t>
            </w:r>
            <w:r w:rsidR="00C57907"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and a specific methodology has been developed.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0.5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required</w:t>
            </w:r>
            <w:r w:rsidR="00C57907"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but no specific methodology has been developed.</w:t>
            </w:r>
          </w:p>
        </w:tc>
      </w:tr>
      <w:tr w:rsidRPr="0022505F" w:rsidR="00700C6A" w:rsidTr="52DA50DD" w14:paraId="047F32D0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5AAA5D8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54D3D6D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5DE6EB0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77ECB91C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ECCF97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88AB135" w14:textId="497B8195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Comparative assessment to evaluate whether PPP is the best option</w:t>
            </w:r>
            <w:r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compared with other procurement strategies (value</w:t>
            </w:r>
            <w:r>
              <w:rPr>
                <w:rFonts w:ascii="Calibri" w:hAnsi="Calibri" w:eastAsia="Times New Roman" w:cs="Calibri"/>
                <w:color w:val="000000"/>
              </w:rPr>
              <w:t>-</w:t>
            </w:r>
            <w:r w:rsidRPr="0022505F">
              <w:rPr>
                <w:rFonts w:ascii="Calibri" w:hAnsi="Calibri" w:eastAsia="Times New Roman" w:cs="Calibri"/>
                <w:color w:val="000000"/>
              </w:rPr>
              <w:t>for</w:t>
            </w:r>
            <w:r>
              <w:rPr>
                <w:rFonts w:ascii="Calibri" w:hAnsi="Calibri" w:eastAsia="Times New Roman" w:cs="Calibri"/>
                <w:color w:val="000000"/>
              </w:rPr>
              <w:t>-</w:t>
            </w:r>
            <w:r w:rsidRPr="0022505F">
              <w:rPr>
                <w:rFonts w:ascii="Calibri" w:hAnsi="Calibri" w:eastAsia="Times New Roman" w:cs="Calibri"/>
                <w:color w:val="000000"/>
              </w:rPr>
              <w:t>money analysis, public</w:t>
            </w:r>
            <w:r>
              <w:rPr>
                <w:rFonts w:ascii="Calibri" w:hAnsi="Calibri" w:eastAsia="Times New Roman" w:cs="Calibri"/>
                <w:color w:val="000000"/>
              </w:rPr>
              <w:t>-</w:t>
            </w:r>
            <w:r w:rsidRPr="0022505F">
              <w:rPr>
                <w:rFonts w:ascii="Calibri" w:hAnsi="Calibri" w:eastAsia="Times New Roman" w:cs="Calibri"/>
                <w:color w:val="000000"/>
              </w:rPr>
              <w:t>sector comparator)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BBCFE78" w14:textId="4236512D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required</w:t>
            </w:r>
            <w:r w:rsidR="00033C37"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and a specific methodology has been developed.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0.5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required</w:t>
            </w:r>
            <w:r w:rsidR="00C57907"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but no specific methodology has been developed.</w:t>
            </w:r>
          </w:p>
        </w:tc>
      </w:tr>
      <w:tr w:rsidRPr="0022505F" w:rsidR="00700C6A" w:rsidTr="52DA50DD" w14:paraId="3E8FEBD2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F864EB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6E86EA3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48D540F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3AA95232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256AF2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28B540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Financial viability or bankability assessment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6233BA0" w14:textId="2B01DA5E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required</w:t>
            </w:r>
            <w:r w:rsidR="00033C37"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and a specific methodology has been developed.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0.5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required</w:t>
            </w:r>
            <w:r w:rsidR="00C57907"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but no specific methodology has been developed.</w:t>
            </w:r>
          </w:p>
        </w:tc>
      </w:tr>
      <w:tr w:rsidRPr="0022505F" w:rsidR="00700C6A" w:rsidTr="52DA50DD" w14:paraId="76432B50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CC320B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34CB743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7C36F48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62C7D664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9E19A6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EECD1C2" w14:textId="2226FD68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 xml:space="preserve">Procurement </w:t>
            </w:r>
            <w:r>
              <w:rPr>
                <w:rFonts w:ascii="Calibri" w:hAnsi="Calibri" w:eastAsia="Times New Roman" w:cs="Calibri"/>
                <w:color w:val="000000"/>
              </w:rPr>
              <w:t>s</w:t>
            </w:r>
            <w:r w:rsidRPr="0022505F">
              <w:rPr>
                <w:rFonts w:ascii="Calibri" w:hAnsi="Calibri" w:eastAsia="Times New Roman" w:cs="Calibri"/>
                <w:color w:val="000000"/>
              </w:rPr>
              <w:t>trategy (quick assessment to plan and better strategize the tendering process in advance so it is fit for purpose)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E37DABD" w14:textId="17C1A68B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required</w:t>
            </w:r>
            <w:r w:rsidR="00033C37"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and a specific methodology has been developed.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0.5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required</w:t>
            </w:r>
            <w:r w:rsidR="00264E56">
              <w:rPr>
                <w:rFonts w:ascii="Calibri" w:hAnsi="Calibri" w:eastAsia="Times New Roman" w:cs="Calibri"/>
                <w:color w:val="000000"/>
              </w:rPr>
              <w:t xml:space="preserve">,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but no specific methodology has been developed.</w:t>
            </w:r>
          </w:p>
        </w:tc>
      </w:tr>
      <w:tr w:rsidRPr="0022505F" w:rsidR="00700C6A" w:rsidTr="52DA50DD" w14:paraId="343ED597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778B60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5CEC4CD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704C983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6D263C8E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994D68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DF6B64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Market sounding and/or assessment (showing evidence of investors’ interest in the market for the project)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CBAEB2D" w14:textId="3B79FCFB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required</w:t>
            </w:r>
            <w:r w:rsidR="00C57907"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and a specific methodology has been developed.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0.5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required</w:t>
            </w:r>
            <w:r w:rsidR="00C57907"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but no specific methodology has been developed.</w:t>
            </w:r>
          </w:p>
        </w:tc>
      </w:tr>
      <w:tr w:rsidRPr="0022505F" w:rsidR="00700C6A" w:rsidTr="52DA50DD" w14:paraId="3DB9E7E1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EEE083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3CBF520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12BB654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307F7FD1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00186F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5A49975" w14:textId="56F57DBE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 xml:space="preserve">Market </w:t>
            </w:r>
            <w:r>
              <w:rPr>
                <w:rFonts w:ascii="Calibri" w:hAnsi="Calibri" w:eastAsia="Times New Roman" w:cs="Calibri"/>
                <w:color w:val="000000"/>
              </w:rPr>
              <w:t>s</w:t>
            </w:r>
            <w:r w:rsidRPr="0022505F">
              <w:rPr>
                <w:rFonts w:ascii="Calibri" w:hAnsi="Calibri" w:eastAsia="Times New Roman" w:cs="Calibri"/>
                <w:color w:val="000000"/>
              </w:rPr>
              <w:t>ounding</w:t>
            </w:r>
            <w:r>
              <w:rPr>
                <w:rFonts w:ascii="Calibri" w:hAnsi="Calibri" w:eastAsia="Times New Roman" w:cs="Calibri"/>
                <w:color w:val="000000"/>
              </w:rPr>
              <w:t>—t</w:t>
            </w:r>
            <w:r w:rsidRPr="0022505F">
              <w:rPr>
                <w:rFonts w:ascii="Calibri" w:hAnsi="Calibri" w:eastAsia="Times New Roman" w:cs="Calibri"/>
                <w:color w:val="000000"/>
              </w:rPr>
              <w:t>echnological alternatives and innovation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6A01FE1" w14:textId="7B1EEA93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required</w:t>
            </w:r>
            <w:r w:rsidR="007C338A">
              <w:rPr>
                <w:rFonts w:ascii="Calibri" w:hAnsi="Calibri" w:eastAsia="Times New Roman" w:cs="Calibri"/>
                <w:color w:val="000000"/>
              </w:rPr>
              <w:t xml:space="preserve">,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and a specific methodology has been developed.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0.5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required</w:t>
            </w:r>
            <w:r w:rsidR="00264E56"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but no specific methodology has been developed.</w:t>
            </w:r>
          </w:p>
        </w:tc>
      </w:tr>
      <w:tr w:rsidRPr="0022505F" w:rsidR="00700C6A" w:rsidTr="52DA50DD" w14:paraId="6686EEE4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6574E0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7E58C82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2F03F5D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6B6EEDC7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1879D4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AA9C80C" w14:textId="22E5C561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Environmental impact analysis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E6C359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5AEAD57F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0.33</w:t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 xml:space="preserve"> for each of the following: </w:t>
            </w:r>
            <w:r>
              <w:br/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>Environmental impact assessment (EIA) is required.</w:t>
            </w:r>
            <w:r>
              <w:br/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 xml:space="preserve">A specific methodology for EIA has been developed. </w:t>
            </w:r>
            <w:r>
              <w:br/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>A consultation process with affected communities is explicitly included as part of an EIA.</w:t>
            </w:r>
          </w:p>
        </w:tc>
      </w:tr>
      <w:tr w:rsidRPr="0022505F" w:rsidR="00700C6A" w:rsidTr="52DA50DD" w14:paraId="4D5EC5D0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9A4D81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6402BA4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57B214E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5CCDDA8E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7D78CD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3341CFA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7EC7BCB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0876B032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046625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737548A" w14:textId="63D1EE88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Social impact analysis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0B2D6B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5AEAD57F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0.33</w:t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 xml:space="preserve"> for each of the following: </w:t>
            </w:r>
            <w:r>
              <w:br/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>Social impact assessment (SIA) is required.</w:t>
            </w:r>
            <w:r>
              <w:br/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 xml:space="preserve">A specific methodology for SIA has been developed. </w:t>
            </w:r>
            <w:r>
              <w:br/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>A consultation process with affected communities is explicitly included as part of an SIA.</w:t>
            </w:r>
          </w:p>
        </w:tc>
      </w:tr>
      <w:tr w:rsidRPr="0022505F" w:rsidR="00700C6A" w:rsidTr="52DA50DD" w14:paraId="06AEFE7E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C521F2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0582868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7B6F643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1A6258A4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265C9D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15FE15E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4F9BFB7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0A7C63EC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9EF496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BDF7BE8" w14:textId="07B8BE83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Assessments included in the request for proposals and/or tender documents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CB117B" w:rsidRDefault="00700C6A" w14:paraId="47A179C7" w14:textId="7A807AD4">
            <w:r w:rsidRPr="0022505F">
              <w:rPr>
                <w:b/>
                <w:bCs/>
              </w:rPr>
              <w:t>A score of 0.11</w:t>
            </w:r>
            <w:r w:rsidRPr="0022505F">
              <w:t xml:space="preserve"> for each of the following:</w:t>
            </w:r>
            <w:r w:rsidRPr="0022505F">
              <w:br/>
            </w:r>
            <w:r w:rsidRPr="0022505F">
              <w:br/>
            </w:r>
            <w:r w:rsidRPr="0022505F">
              <w:t>Socio-economic</w:t>
            </w:r>
            <w:r w:rsidR="00CB117B">
              <w:t xml:space="preserve"> </w:t>
            </w:r>
            <w:r w:rsidRPr="0022505F">
              <w:t>assessment</w:t>
            </w:r>
            <w:r w:rsidR="00CB117B">
              <w:t xml:space="preserve"> </w:t>
            </w:r>
            <w:r w:rsidRPr="0022505F">
              <w:br/>
            </w:r>
            <w:r w:rsidRPr="0022505F">
              <w:t>Fiscal affordability assessment</w:t>
            </w:r>
            <w:r w:rsidRPr="0022505F">
              <w:br/>
            </w:r>
            <w:r w:rsidRPr="0022505F">
              <w:t>Risk identification analysis</w:t>
            </w:r>
            <w:r w:rsidRPr="0022505F">
              <w:br/>
            </w:r>
            <w:r w:rsidRPr="0022505F">
              <w:t>Comparative assessment (</w:t>
            </w:r>
            <w:r>
              <w:t>v</w:t>
            </w:r>
            <w:r w:rsidRPr="0022505F">
              <w:t>alue</w:t>
            </w:r>
            <w:r>
              <w:t>-</w:t>
            </w:r>
            <w:r w:rsidRPr="0022505F">
              <w:t>for</w:t>
            </w:r>
            <w:r>
              <w:t>-m</w:t>
            </w:r>
            <w:r w:rsidRPr="0022505F">
              <w:t xml:space="preserve">oney </w:t>
            </w:r>
            <w:r w:rsidRPr="0022505F">
              <w:t>analysis)</w:t>
            </w:r>
            <w:r w:rsidRPr="0022505F">
              <w:br/>
            </w:r>
            <w:r w:rsidRPr="00056457">
              <w:t>Financial viability/bankability assessment</w:t>
            </w:r>
            <w:r w:rsidRPr="00056457">
              <w:br/>
            </w:r>
            <w:r w:rsidRPr="00056457">
              <w:t>Market sounding—private-sector interest and capacity</w:t>
            </w:r>
            <w:r w:rsidRPr="00056457">
              <w:br/>
            </w:r>
            <w:r w:rsidRPr="00056457">
              <w:t>Market sounding—technological alternatives and innovation</w:t>
            </w:r>
            <w:r w:rsidRPr="00056457">
              <w:br/>
            </w:r>
            <w:r w:rsidRPr="00056457">
              <w:t>Environmental impact assessment</w:t>
            </w:r>
            <w:r w:rsidRPr="00056457">
              <w:br/>
            </w:r>
            <w:r w:rsidRPr="00056457">
              <w:t>Social impact assessment</w:t>
            </w:r>
          </w:p>
        </w:tc>
      </w:tr>
      <w:tr w:rsidRPr="0022505F" w:rsidR="00700C6A" w:rsidTr="52DA50DD" w14:paraId="430B6846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11217F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0E2D762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0119BA5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320CDA56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7AC24D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120D222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1CE4A6F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45FAAC8C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220EAF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33E2B16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1ABD056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44959BC8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CBA579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53BF28C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678D1E5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30F07FD1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A862A1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480A67F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52422E0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57F1F25C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56449D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4370CF6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59D1CBF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77E4DD0A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77EB90A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23186F3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7B6E8AA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373ADAED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200C2C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123CB60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3E20797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7F9F8E40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7ED8E7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F7E3E73" w14:textId="45DAF35D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 w:rsidRPr="7FCD0AEB">
              <w:rPr>
                <w:rFonts w:ascii="Calibri" w:hAnsi="Calibri" w:eastAsia="Times New Roman" w:cs="Calibri"/>
                <w:color w:val="000000" w:themeColor="text1"/>
              </w:rPr>
              <w:t>Assessments published online</w:t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*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92E7A7F" w14:textId="7BC87458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0.11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for each of the following: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t>Socio-economic assessment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t>Fiscal affordability assessment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t>Risk identification analysis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t>Comparative assessment (</w:t>
            </w:r>
            <w:r>
              <w:rPr>
                <w:rFonts w:ascii="Calibri" w:hAnsi="Calibri" w:eastAsia="Times New Roman" w:cs="Calibri"/>
                <w:color w:val="000000"/>
              </w:rPr>
              <w:t>v</w:t>
            </w:r>
            <w:r w:rsidRPr="0022505F">
              <w:rPr>
                <w:rFonts w:ascii="Calibri" w:hAnsi="Calibri" w:eastAsia="Times New Roman" w:cs="Calibri"/>
                <w:color w:val="000000"/>
              </w:rPr>
              <w:t>alue</w:t>
            </w:r>
            <w:r>
              <w:rPr>
                <w:rFonts w:ascii="Calibri" w:hAnsi="Calibri" w:eastAsia="Times New Roman" w:cs="Calibri"/>
                <w:color w:val="000000"/>
              </w:rPr>
              <w:t>-</w:t>
            </w:r>
            <w:r w:rsidRPr="0022505F">
              <w:rPr>
                <w:rFonts w:ascii="Calibri" w:hAnsi="Calibri" w:eastAsia="Times New Roman" w:cs="Calibri"/>
                <w:color w:val="000000"/>
              </w:rPr>
              <w:t>for</w:t>
            </w:r>
            <w:r>
              <w:rPr>
                <w:rFonts w:ascii="Calibri" w:hAnsi="Calibri" w:eastAsia="Times New Roman" w:cs="Calibri"/>
                <w:color w:val="000000"/>
              </w:rPr>
              <w:t>-m</w:t>
            </w:r>
            <w:r w:rsidRPr="0022505F">
              <w:rPr>
                <w:rFonts w:ascii="Calibri" w:hAnsi="Calibri" w:eastAsia="Times New Roman" w:cs="Calibri"/>
                <w:color w:val="000000"/>
              </w:rPr>
              <w:t>oney analysis)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t>Financial viability/bankability assessment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Market </w:t>
            </w:r>
            <w:r>
              <w:rPr>
                <w:rFonts w:ascii="Calibri" w:hAnsi="Calibri" w:eastAsia="Times New Roman" w:cs="Calibri"/>
                <w:color w:val="000000"/>
              </w:rPr>
              <w:t>s</w:t>
            </w:r>
            <w:r w:rsidRPr="0022505F">
              <w:rPr>
                <w:rFonts w:ascii="Calibri" w:hAnsi="Calibri" w:eastAsia="Times New Roman" w:cs="Calibri"/>
                <w:color w:val="000000"/>
              </w:rPr>
              <w:t>ounding</w:t>
            </w:r>
            <w:r>
              <w:rPr>
                <w:rFonts w:ascii="Calibri" w:hAnsi="Calibri" w:eastAsia="Times New Roman" w:cs="Calibri"/>
                <w:color w:val="000000"/>
              </w:rPr>
              <w:t>—p</w:t>
            </w:r>
            <w:r w:rsidRPr="0022505F">
              <w:rPr>
                <w:rFonts w:ascii="Calibri" w:hAnsi="Calibri" w:eastAsia="Times New Roman" w:cs="Calibri"/>
                <w:color w:val="000000"/>
              </w:rPr>
              <w:t>rivate</w:t>
            </w:r>
            <w:r>
              <w:rPr>
                <w:rFonts w:ascii="Calibri" w:hAnsi="Calibri" w:eastAsia="Times New Roman" w:cs="Calibri"/>
                <w:color w:val="000000"/>
              </w:rPr>
              <w:t>-</w:t>
            </w:r>
            <w:r w:rsidRPr="0022505F">
              <w:rPr>
                <w:rFonts w:ascii="Calibri" w:hAnsi="Calibri" w:eastAsia="Times New Roman" w:cs="Calibri"/>
                <w:color w:val="000000"/>
              </w:rPr>
              <w:t>sector interest and capacity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Market </w:t>
            </w:r>
            <w:r>
              <w:rPr>
                <w:rFonts w:ascii="Calibri" w:hAnsi="Calibri" w:eastAsia="Times New Roman" w:cs="Calibri"/>
                <w:color w:val="000000"/>
              </w:rPr>
              <w:t>s</w:t>
            </w:r>
            <w:r w:rsidRPr="0022505F">
              <w:rPr>
                <w:rFonts w:ascii="Calibri" w:hAnsi="Calibri" w:eastAsia="Times New Roman" w:cs="Calibri"/>
                <w:color w:val="000000"/>
              </w:rPr>
              <w:t>ounding</w:t>
            </w:r>
            <w:r>
              <w:rPr>
                <w:rFonts w:ascii="Calibri" w:hAnsi="Calibri" w:eastAsia="Times New Roman" w:cs="Calibri"/>
                <w:color w:val="000000"/>
              </w:rPr>
              <w:t>—t</w:t>
            </w:r>
            <w:r w:rsidRPr="0022505F">
              <w:rPr>
                <w:rFonts w:ascii="Calibri" w:hAnsi="Calibri" w:eastAsia="Times New Roman" w:cs="Calibri"/>
                <w:color w:val="000000"/>
              </w:rPr>
              <w:t>echnological alternatives and innovation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t>Environmental impact assessment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t>Social impact assessment</w:t>
            </w:r>
          </w:p>
        </w:tc>
      </w:tr>
      <w:tr w:rsidRPr="0022505F" w:rsidR="00700C6A" w:rsidTr="52DA50DD" w14:paraId="4750C3C3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7213C1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410A13B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3AA4496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5E28BED4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072DEE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51DD9C8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3DC9EC3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0FB791D0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5C2DB9D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613F130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4BC97D3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7F5A80B9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061958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0AB33CE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19336AD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2C2A6624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E09236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4F9F28E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27F1695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7DB7497D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719D383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378348B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428A46B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3A5EBC19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7B8B3CC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27A7FF4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72FA18C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1EAF4711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5F62CE2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6C8B2AB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31F2C76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728A2B89" w14:textId="77777777">
        <w:trPr>
          <w:trHeight w:val="3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54629D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FBF448B" w14:textId="010C7CD3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7FCD0AEB">
              <w:rPr>
                <w:rFonts w:ascii="Calibri" w:hAnsi="Calibri" w:eastAsia="Times New Roman" w:cs="Calibri"/>
                <w:color w:val="000000" w:themeColor="text1"/>
              </w:rPr>
              <w:t>Tender documents published online</w:t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*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7B5478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04DC5624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9B52EB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6CD02F5" w14:textId="1039B3AF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Draft PPP contract included in the request for proposals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1F755D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64BD73DE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3E1538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64F5C6E" w14:textId="1CBC132B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7FCD0AEB">
              <w:rPr>
                <w:rFonts w:ascii="Calibri" w:hAnsi="Calibri" w:eastAsia="Times New Roman" w:cs="Calibri"/>
                <w:color w:val="000000" w:themeColor="text1"/>
              </w:rPr>
              <w:t>Standardized PPP model contracts and/or transaction documents developed</w:t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*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D99CCB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54CBF4FF" w14:textId="77777777">
        <w:trPr>
          <w:trHeight w:val="1200"/>
        </w:trPr>
        <w:tc>
          <w:tcPr>
            <w:tcW w:w="1665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312EA3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Procurement</w:t>
            </w: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7AFD5F0" w14:textId="23794106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Bid evaluation committee members are required to meet specific qualifications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FAF142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1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a specific qualification </w:t>
            </w:r>
            <w:proofErr w:type="gramStart"/>
            <w:r w:rsidRPr="0022505F">
              <w:rPr>
                <w:rFonts w:ascii="Calibri" w:hAnsi="Calibri" w:eastAsia="Times New Roman" w:cs="Calibri"/>
                <w:color w:val="000000"/>
              </w:rPr>
              <w:t>are</w:t>
            </w:r>
            <w:proofErr w:type="gramEnd"/>
            <w:r w:rsidRPr="0022505F">
              <w:rPr>
                <w:rFonts w:ascii="Calibri" w:hAnsi="Calibri" w:eastAsia="Times New Roman" w:cs="Calibri"/>
                <w:color w:val="000000"/>
              </w:rPr>
              <w:t xml:space="preserve"> detailed in the regulatory framework.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0.5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qualifications are required without specific detail.</w:t>
            </w:r>
          </w:p>
        </w:tc>
      </w:tr>
      <w:tr w:rsidRPr="0022505F" w:rsidR="00700C6A" w:rsidTr="52DA50DD" w14:paraId="18D0ECAA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F82ACD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432D4B2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3BAA21D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79492B91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213F97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3573867" w14:textId="0BA770AB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7FCD0AEB">
              <w:rPr>
                <w:rFonts w:ascii="Calibri" w:hAnsi="Calibri" w:eastAsia="Times New Roman" w:cs="Calibri"/>
                <w:color w:val="000000" w:themeColor="text1"/>
              </w:rPr>
              <w:t>The procuring authority issues a public procurement notice of the PPP</w:t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*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41BBB4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1D654D80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7195BE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2E77B11" w14:textId="238B3196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7FCD0AEB">
              <w:rPr>
                <w:rFonts w:ascii="Calibri" w:hAnsi="Calibri" w:eastAsia="Times New Roman" w:cs="Calibri"/>
                <w:color w:val="000000" w:themeColor="text1"/>
              </w:rPr>
              <w:t>PPP public procurement notice is published online</w:t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*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569265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0059AC49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525AF74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6CE099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Foreign companies are allowed to participate in the PPP bidding process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95367D6" w14:textId="71EA908E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no prohibition is in place</w:t>
            </w:r>
            <w:r>
              <w:rPr>
                <w:rFonts w:ascii="Calibri" w:hAnsi="Calibri" w:eastAsia="Times New Roman" w:cs="Calibri"/>
                <w:color w:val="000000"/>
              </w:rPr>
              <w:t>.</w:t>
            </w:r>
          </w:p>
        </w:tc>
      </w:tr>
      <w:tr w:rsidRPr="0022505F" w:rsidR="00700C6A" w:rsidTr="52DA50DD" w14:paraId="44EFFDCA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B33112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12624EB" w14:textId="56F70369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Further restrictions imposed on foreign company participation in the bidding process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F63171D" w14:textId="00C71E85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none of the following restrictions are imposed on foreign bidders: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t>Requirement to have a local office or branch before being allowed to bid</w:t>
            </w:r>
            <w:r>
              <w:rPr>
                <w:rFonts w:ascii="Calibri" w:hAnsi="Calibri" w:eastAsia="Times New Roman" w:cs="Calibri"/>
                <w:color w:val="000000"/>
              </w:rPr>
              <w:t>;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t>Requirement to form a joint venture with domestic firm(s) before being allowed to bid</w:t>
            </w:r>
            <w:r>
              <w:rPr>
                <w:rFonts w:ascii="Calibri" w:hAnsi="Calibri" w:eastAsia="Times New Roman" w:cs="Calibri"/>
                <w:color w:val="000000"/>
              </w:rPr>
              <w:t>;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t>Requirement to have prior experience in the country before being allowed to bid</w:t>
            </w:r>
            <w:r>
              <w:rPr>
                <w:rFonts w:ascii="Calibri" w:hAnsi="Calibri" w:eastAsia="Times New Roman" w:cs="Calibri"/>
                <w:color w:val="000000"/>
              </w:rPr>
              <w:t>;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color w:val="000000"/>
              </w:rPr>
              <w:t>Threshold for public tenders to be open for foreign participation to be considered international tenders</w:t>
            </w:r>
            <w:r>
              <w:rPr>
                <w:rFonts w:ascii="Calibri" w:hAnsi="Calibri" w:eastAsia="Times New Roman" w:cs="Calibri"/>
                <w:color w:val="000000"/>
              </w:rPr>
              <w:t>.</w:t>
            </w:r>
          </w:p>
        </w:tc>
      </w:tr>
      <w:tr w:rsidRPr="0022505F" w:rsidR="00700C6A" w:rsidTr="52DA50DD" w14:paraId="604DAF6E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5E80D8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725C5B3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5C2374D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3D74E643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F4FFC2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5A8870C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3F5B669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4D6FD70B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8B274A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0131FC1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75A1CF6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5EC54353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56999D7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E3A70E3" w14:textId="5D4ABC6B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 xml:space="preserve">The procuring authority grants potential bidders a minimum </w:t>
            </w:r>
            <w:proofErr w:type="gramStart"/>
            <w:r w:rsidRPr="0022505F">
              <w:rPr>
                <w:rFonts w:ascii="Calibri" w:hAnsi="Calibri" w:eastAsia="Times New Roman" w:cs="Calibri"/>
                <w:color w:val="000000"/>
              </w:rPr>
              <w:t>period of time</w:t>
            </w:r>
            <w:proofErr w:type="gramEnd"/>
            <w:r w:rsidRPr="0022505F">
              <w:rPr>
                <w:rFonts w:ascii="Calibri" w:hAnsi="Calibri" w:eastAsia="Times New Roman" w:cs="Calibri"/>
                <w:color w:val="000000"/>
              </w:rPr>
              <w:t xml:space="preserve"> to submit their bids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309971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72AF3A16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50B4B1D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F17C4D9" w14:textId="172B3695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 xml:space="preserve">Legally required minimum </w:t>
            </w:r>
            <w:proofErr w:type="gramStart"/>
            <w:r w:rsidRPr="0022505F">
              <w:rPr>
                <w:rFonts w:ascii="Calibri" w:hAnsi="Calibri" w:eastAsia="Times New Roman" w:cs="Calibri"/>
                <w:color w:val="000000"/>
              </w:rPr>
              <w:t>period of time</w:t>
            </w:r>
            <w:proofErr w:type="gramEnd"/>
            <w:r w:rsidRPr="0022505F">
              <w:rPr>
                <w:rFonts w:ascii="Calibri" w:hAnsi="Calibri" w:eastAsia="Times New Roman" w:cs="Calibri"/>
                <w:color w:val="000000"/>
              </w:rPr>
              <w:t xml:space="preserve"> in calendar days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DE78BB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1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the legally required minimum </w:t>
            </w:r>
            <w:proofErr w:type="gramStart"/>
            <w:r w:rsidRPr="0022505F">
              <w:rPr>
                <w:rFonts w:ascii="Calibri" w:hAnsi="Calibri" w:eastAsia="Times New Roman" w:cs="Calibri"/>
                <w:color w:val="000000"/>
              </w:rPr>
              <w:t>period of time</w:t>
            </w:r>
            <w:proofErr w:type="gramEnd"/>
            <w:r w:rsidRPr="0022505F">
              <w:rPr>
                <w:rFonts w:ascii="Calibri" w:hAnsi="Calibri" w:eastAsia="Times New Roman" w:cs="Calibri"/>
                <w:color w:val="000000"/>
              </w:rPr>
              <w:t xml:space="preserve"> is at least 60 calendar days.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0.5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the legally required minimum period of time is at least 30 calendar days.</w:t>
            </w:r>
          </w:p>
        </w:tc>
      </w:tr>
      <w:tr w:rsidRPr="0022505F" w:rsidR="00700C6A" w:rsidTr="52DA50DD" w14:paraId="14CCC7DF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754561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97803E2" w14:textId="6FD9A035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Procurement procedures are available when procuring PPPs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C399FCF" w14:textId="5524C28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0.33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</w:t>
            </w:r>
            <w:r w:rsidR="00875F48">
              <w:rPr>
                <w:rFonts w:ascii="Calibri" w:hAnsi="Calibri" w:eastAsia="Times New Roman" w:cs="Calibri"/>
                <w:color w:val="000000"/>
              </w:rPr>
              <w:t xml:space="preserve">an 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open </w:t>
            </w:r>
            <w:r>
              <w:rPr>
                <w:rFonts w:ascii="Calibri" w:hAnsi="Calibri" w:eastAsia="Times New Roman" w:cs="Calibri"/>
                <w:color w:val="000000"/>
              </w:rPr>
              <w:t xml:space="preserve">competitive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procedure (single-stage bidding) is available.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0.33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</w:t>
            </w:r>
            <w:r w:rsidR="00875F48">
              <w:rPr>
                <w:rFonts w:ascii="Calibri" w:hAnsi="Calibri" w:eastAsia="Times New Roman" w:cs="Calibri"/>
                <w:color w:val="000000"/>
              </w:rPr>
              <w:t xml:space="preserve">a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restricted procedure (competitive procedure with prequalification stage) is available.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0.33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either </w:t>
            </w:r>
            <w:r>
              <w:rPr>
                <w:rFonts w:ascii="Calibri" w:hAnsi="Calibri" w:eastAsia="Times New Roman" w:cs="Calibri"/>
                <w:color w:val="000000"/>
              </w:rPr>
              <w:t>c</w:t>
            </w:r>
            <w:r w:rsidRPr="0022505F">
              <w:rPr>
                <w:rFonts w:ascii="Calibri" w:hAnsi="Calibri" w:eastAsia="Times New Roman" w:cs="Calibri"/>
                <w:color w:val="000000"/>
              </w:rPr>
              <w:t>ompetitive dialogue, multi-stage bidding process (other than prequalification), or best and final offer (BAFO) is available.</w:t>
            </w:r>
          </w:p>
        </w:tc>
      </w:tr>
      <w:tr w:rsidRPr="0022505F" w:rsidR="00700C6A" w:rsidTr="52DA50DD" w14:paraId="6586A58B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F1C7EC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53380D5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286521F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1EDC4F9F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7989A32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3045115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64B63DE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2BF79AEA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4E7440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372A96E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77EB7F7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42D8E1B9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54FEC81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4D4F065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6BB2948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6E5605EC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55840B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75B6688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71D576B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358B1A48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752E2C2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076123C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34A7092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46DEAACB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47BFC9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1396352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0481DC2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37E9B506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74AFCC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42D0E9C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63A5AF6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68911475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BD2805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75928FA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129DD1C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69BF1BD6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0CAB87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C13F05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Direct negotiation restricted to regulated circumstances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3F8398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696AD86F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39BD3D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C1A6C3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tender documents detail the procedure of the procurement process, providing the same information to all the bidders.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CB6720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139993F4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2FE043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5F3E541" w14:textId="34346236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The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tender documents specify the qualificatio</w:t>
            </w:r>
            <w:r w:rsidR="00EB1FA1">
              <w:rPr>
                <w:rFonts w:ascii="Calibri" w:hAnsi="Calibri" w:eastAsia="Times New Roman" w:cs="Calibri"/>
                <w:color w:val="000000"/>
              </w:rPr>
              <w:t xml:space="preserve">n 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criteria </w:t>
            </w:r>
            <w:proofErr w:type="gramStart"/>
            <w:r w:rsidRPr="0022505F">
              <w:rPr>
                <w:rFonts w:ascii="Calibri" w:hAnsi="Calibri" w:eastAsia="Times New Roman" w:cs="Calibri"/>
                <w:color w:val="000000"/>
              </w:rPr>
              <w:t>in order to</w:t>
            </w:r>
            <w:proofErr w:type="gramEnd"/>
            <w:r w:rsidRPr="0022505F">
              <w:rPr>
                <w:rFonts w:ascii="Calibri" w:hAnsi="Calibri" w:eastAsia="Times New Roman" w:cs="Calibri"/>
                <w:color w:val="000000"/>
              </w:rPr>
              <w:t xml:space="preserve"> make them available to all the bidders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8AEC87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1E226AED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5CDC5D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EB1FA1" w14:paraId="422CA167" w14:textId="532DFC8E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Q</w:t>
            </w:r>
            <w:r w:rsidRPr="0022505F" w:rsidR="00700C6A">
              <w:rPr>
                <w:rFonts w:ascii="Calibri" w:hAnsi="Calibri" w:eastAsia="Times New Roman" w:cs="Calibri"/>
                <w:color w:val="000000"/>
              </w:rPr>
              <w:t>ualification requirements regulated to ensure competition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538B86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0172D80D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96CB56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A77155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Interested parties/potential bidders can submit questions to clarify the public procurement notice and/or the request for proposals.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5799E6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2018FD16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DD7135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F0D8EF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Bidders can suggest innovations / submit variant bids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631FB4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0AAEAF94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79B1FFD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CB0ECE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Timeframe to address questions &amp; clarifications regulated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A7DB92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1BCD7CD1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A92776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FFAFAC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Notwithstanding confidential information, the procuring authority discloses those questions and clarifications to all the potential bidders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A72F6F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09DF72EC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53A147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03048CA" w14:textId="68D23A98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Bid</w:t>
            </w:r>
            <w:r>
              <w:rPr>
                <w:rFonts w:ascii="Calibri" w:hAnsi="Calibri" w:eastAsia="Times New Roman" w:cs="Calibri"/>
                <w:color w:val="000000"/>
              </w:rPr>
              <w:t>-</w:t>
            </w:r>
            <w:r w:rsidRPr="0022505F">
              <w:rPr>
                <w:rFonts w:ascii="Calibri" w:hAnsi="Calibri" w:eastAsia="Times New Roman" w:cs="Calibri"/>
                <w:color w:val="000000"/>
              </w:rPr>
              <w:t>submission deadline extended if tender documents modified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765374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1FAEBB77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5C486C8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17831A3" w14:textId="641EC0C5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Besides questions and clarifications, the procuring authority can conduct a pre-bid conference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B1515B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0C3400DE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D5A745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22DD23E" w14:textId="0AD62075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Notwithstanding confidential information, the procuring authority discloses the content and the results of the pre-bid conference to all bidders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2E78DE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56424EAA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211F0C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54F01F9" w14:textId="53A7E8A4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procuring authority requires the bidders to prepare and present a financial model with their proposals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30B74B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36557BFE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8D0A4C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74F2C89" w14:textId="6B94C7FF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procuring authority evaluates the proposals strictly and solely in accordance with the evaluation criteria stated in the tender documents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36C320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3713DDF5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88299A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54CDE4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Non-price criteria available for evaluation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0F912E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3ACDE72A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036D53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8537D" w:rsidR="00700C6A" w:rsidP="00F20017" w:rsidRDefault="00700C6A" w14:paraId="229DCD2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val="fr-FR"/>
              </w:rPr>
            </w:pPr>
            <w:r w:rsidRPr="0028537D">
              <w:rPr>
                <w:rFonts w:ascii="Calibri" w:hAnsi="Calibri" w:eastAsia="Times New Roman" w:cs="Calibri"/>
                <w:color w:val="000000"/>
                <w:lang w:val="fr-FR"/>
              </w:rPr>
              <w:t>Non-</w:t>
            </w:r>
            <w:proofErr w:type="spellStart"/>
            <w:r w:rsidRPr="0028537D">
              <w:rPr>
                <w:rFonts w:ascii="Calibri" w:hAnsi="Calibri" w:eastAsia="Times New Roman" w:cs="Calibri"/>
                <w:color w:val="000000"/>
                <w:lang w:val="fr-FR"/>
              </w:rPr>
              <w:t>price</w:t>
            </w:r>
            <w:proofErr w:type="spellEnd"/>
            <w:r w:rsidRPr="0028537D">
              <w:rPr>
                <w:rFonts w:ascii="Calibri" w:hAnsi="Calibri" w:eastAsia="Times New Roman" w:cs="Calibri"/>
                <w:color w:val="000000"/>
                <w:lang w:val="fr-FR"/>
              </w:rPr>
              <w:t xml:space="preserve"> </w:t>
            </w:r>
            <w:proofErr w:type="spellStart"/>
            <w:r w:rsidRPr="0028537D">
              <w:rPr>
                <w:rFonts w:ascii="Calibri" w:hAnsi="Calibri" w:eastAsia="Times New Roman" w:cs="Calibri"/>
                <w:color w:val="000000"/>
                <w:lang w:val="fr-FR"/>
              </w:rPr>
              <w:t>criteria</w:t>
            </w:r>
            <w:proofErr w:type="spellEnd"/>
            <w:r w:rsidRPr="0028537D">
              <w:rPr>
                <w:rFonts w:ascii="Calibri" w:hAnsi="Calibri" w:eastAsia="Times New Roman" w:cs="Calibri"/>
                <w:color w:val="000000"/>
                <w:lang w:val="fr-FR"/>
              </w:rPr>
              <w:t xml:space="preserve"> objective, justifiable &amp; quantifiable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AD46A4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514B6DBE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82A0DC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05F44C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Price/cost estimate provided to bidders when price is used as part of the evaluation criteria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1DDD2E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69D848DE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55BDFDE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4C30FC9" w14:textId="45C97B78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When only one proposal is submitted (sole proposals), the procuring authority follows a special procedure before awarding the PPP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A41960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if a specific procedure is detailed in the regulatory framework. </w:t>
            </w:r>
          </w:p>
        </w:tc>
      </w:tr>
      <w:tr w:rsidRPr="0022505F" w:rsidR="00700C6A" w:rsidTr="52DA50DD" w14:paraId="0D9FF961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9704CB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43B9059" w14:textId="39406C1A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7FCD0AEB">
              <w:rPr>
                <w:rFonts w:ascii="Calibri" w:hAnsi="Calibri" w:eastAsia="Times New Roman" w:cs="Calibri"/>
                <w:color w:val="000000" w:themeColor="text1"/>
              </w:rPr>
              <w:t>The procuring authority publishes the award notice</w:t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*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C1D82F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6E2D4351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D2EB3F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3BAC747" w14:textId="43D13B55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7FCD0AEB">
              <w:rPr>
                <w:rFonts w:ascii="Calibri" w:hAnsi="Calibri" w:eastAsia="Times New Roman" w:cs="Calibri"/>
                <w:color w:val="000000" w:themeColor="text1"/>
              </w:rPr>
              <w:t>The public procurement award notice is published online</w:t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*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F7B994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0DB3DF84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597C765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6D56BAF" w14:textId="7CF7EF58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procuring authority provides all the bidders with the result of the PPP procurement process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490DE4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142A11CA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892812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7708EFA" w14:textId="4EA5EE44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notification of the result of the PPP procurement process includes the grounds for the selection of the winning bid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429EB4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62DA2180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CF9317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EEBC68C" w14:textId="4EB284BD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notification of the result of the PPP procurement process includes the option of holding a debriefing meeting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62CCFA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49CC1EA8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544142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FC6D2AB" w14:textId="21535B46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5AEAD57F">
              <w:rPr>
                <w:rFonts w:ascii="Calibri" w:hAnsi="Calibri" w:eastAsia="Times New Roman" w:cs="Calibri"/>
                <w:color w:val="000000" w:themeColor="text1"/>
              </w:rPr>
              <w:t>There is a standstill period</w:t>
            </w:r>
            <w:r w:rsidRPr="5AEAD57F" w:rsidR="6BCBAD92">
              <w:rPr>
                <w:rFonts w:ascii="Calibri" w:hAnsi="Calibri" w:eastAsia="Times New Roman" w:cs="Calibri"/>
                <w:color w:val="000000" w:themeColor="text1"/>
              </w:rPr>
              <w:t xml:space="preserve"> </w:t>
            </w:r>
            <w:r w:rsidRPr="5AEAD57F" w:rsidR="1E7A4CCF">
              <w:rPr>
                <w:rFonts w:ascii="Calibri" w:hAnsi="Calibri" w:eastAsia="Times New Roman" w:cs="Calibri"/>
                <w:color w:val="000000" w:themeColor="text1"/>
              </w:rPr>
              <w:t>after</w:t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 xml:space="preserve"> contract award and before signing the contract </w:t>
            </w:r>
            <w:proofErr w:type="gramStart"/>
            <w:r w:rsidRPr="5AEAD57F">
              <w:rPr>
                <w:rFonts w:ascii="Calibri" w:hAnsi="Calibri" w:eastAsia="Times New Roman" w:cs="Calibri"/>
                <w:color w:val="000000" w:themeColor="text1"/>
              </w:rPr>
              <w:t>in order to</w:t>
            </w:r>
            <w:proofErr w:type="gramEnd"/>
            <w:r w:rsidRPr="5AEAD57F">
              <w:rPr>
                <w:rFonts w:ascii="Calibri" w:hAnsi="Calibri" w:eastAsia="Times New Roman" w:cs="Calibri"/>
                <w:color w:val="000000" w:themeColor="text1"/>
              </w:rPr>
              <w:t xml:space="preserve"> allow unsuccessful bidders to challenge the award decision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98CDF8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1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there is a standstill period. </w:t>
            </w:r>
          </w:p>
        </w:tc>
      </w:tr>
      <w:tr w:rsidRPr="0022505F" w:rsidR="00700C6A" w:rsidTr="52DA50DD" w14:paraId="62D42D2E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6C0F41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35FEC45" w14:textId="26FE42E4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Legally required standstil</w:t>
            </w:r>
            <w:r>
              <w:rPr>
                <w:rFonts w:ascii="Calibri" w:hAnsi="Calibri" w:eastAsia="Times New Roman" w:cs="Calibri"/>
                <w:color w:val="000000"/>
              </w:rPr>
              <w:t>l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period in calendar days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1F7E07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1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the legally required </w:t>
            </w:r>
            <w:proofErr w:type="gramStart"/>
            <w:r w:rsidRPr="0022505F">
              <w:rPr>
                <w:rFonts w:ascii="Calibri" w:hAnsi="Calibri" w:eastAsia="Times New Roman" w:cs="Calibri"/>
                <w:color w:val="000000"/>
              </w:rPr>
              <w:t>period of time</w:t>
            </w:r>
            <w:proofErr w:type="gramEnd"/>
            <w:r w:rsidRPr="0022505F">
              <w:rPr>
                <w:rFonts w:ascii="Calibri" w:hAnsi="Calibri" w:eastAsia="Times New Roman" w:cs="Calibri"/>
                <w:color w:val="000000"/>
              </w:rPr>
              <w:t xml:space="preserve"> is at least 10 calendar days.</w:t>
            </w:r>
          </w:p>
        </w:tc>
      </w:tr>
      <w:tr w:rsidRPr="0022505F" w:rsidR="00700C6A" w:rsidTr="52DA50DD" w14:paraId="66F14F59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0D61A7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0C268DA" w14:textId="0358E1AD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standstill period is set out in the notice of intention to award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D3D455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4B8612E0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527DFE1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68A4233" w14:textId="03D649D9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regulatory framework restricts negotiations with the selected bidder between the award and the signature of the PPP contract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11A8A0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39FAE303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718EF54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464F08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Complaint review mechanism regulated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F6C1A0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3A7AA61E" w14:textId="77777777">
        <w:trPr>
          <w:trHeight w:val="3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8E3AFD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1DDF5C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Timeframe to resolve complaints regulated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B2B3E0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45EC7CC1" w14:textId="77777777">
        <w:trPr>
          <w:trHeight w:val="3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E438DB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0A05D8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Decision on complaint subject to appeal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330D8C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5AE2078B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C7AD34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F090CF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Decision on complaints reviewed by independent authority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943FB7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58B01973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C48383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9A14BDA" w14:textId="0E70841E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7FCD0AEB">
              <w:rPr>
                <w:rFonts w:ascii="Calibri" w:hAnsi="Calibri" w:eastAsia="Times New Roman" w:cs="Calibri"/>
                <w:color w:val="000000" w:themeColor="text1"/>
              </w:rPr>
              <w:t>The procuring authority publishes the PPP contract</w:t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*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BE7DB0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696B1555" w14:textId="77777777">
        <w:trPr>
          <w:trHeight w:val="15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76CD25E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733A93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Aspects of the PPP contract available by request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056457" w:rsidRDefault="00700C6A" w14:paraId="53EF99E4" w14:textId="77777777">
            <w:r w:rsidRPr="0022505F">
              <w:rPr>
                <w:b/>
                <w:bCs/>
              </w:rPr>
              <w:t xml:space="preserve">A score of 0.5 </w:t>
            </w:r>
            <w:r w:rsidRPr="0022505F">
              <w:t>if any of the following are available:</w:t>
            </w:r>
            <w:r w:rsidRPr="0022505F">
              <w:br/>
            </w:r>
            <w:r w:rsidRPr="0022505F">
              <w:br/>
            </w:r>
            <w:r w:rsidRPr="0022505F">
              <w:t xml:space="preserve">Summary of the PPP contract. </w:t>
            </w:r>
            <w:r w:rsidRPr="0022505F">
              <w:br/>
            </w:r>
            <w:r w:rsidRPr="0022505F">
              <w:t>Full PPP contract.</w:t>
            </w:r>
            <w:r w:rsidRPr="0022505F">
              <w:br/>
            </w:r>
            <w:r w:rsidRPr="0022505F">
              <w:t xml:space="preserve">PPP contract annexes and appendixes. </w:t>
            </w:r>
          </w:p>
        </w:tc>
      </w:tr>
      <w:tr w:rsidRPr="0022505F" w:rsidR="00700C6A" w:rsidTr="52DA50DD" w14:paraId="72DC4ECB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C1E4A6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41181F5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5576231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54F8BBD7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8C7BE0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71D2DFB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41DE993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3F622DB7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54B0AF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AF14443" w14:textId="11F0B1BA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7FCD0AEB">
              <w:rPr>
                <w:rFonts w:ascii="Calibri" w:hAnsi="Calibri" w:eastAsia="Times New Roman" w:cs="Calibri"/>
                <w:color w:val="000000" w:themeColor="text1"/>
              </w:rPr>
              <w:t>Aspects of the PPP contract published online</w:t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*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056457" w:rsidRDefault="00700C6A" w14:paraId="64D4623B" w14:textId="77777777">
            <w:r w:rsidRPr="0022505F">
              <w:rPr>
                <w:b/>
                <w:bCs/>
              </w:rPr>
              <w:t xml:space="preserve">A score of 0.5 </w:t>
            </w:r>
            <w:r w:rsidRPr="0022505F">
              <w:t>if any of the following are available:</w:t>
            </w:r>
            <w:r w:rsidRPr="0022505F">
              <w:br/>
            </w:r>
            <w:r w:rsidRPr="0022505F">
              <w:br/>
            </w:r>
            <w:r w:rsidRPr="0022505F">
              <w:t xml:space="preserve">Summary of the PPP contract. </w:t>
            </w:r>
            <w:r w:rsidRPr="0022505F">
              <w:br/>
            </w:r>
            <w:r w:rsidRPr="0022505F">
              <w:t>Full PPP contract.</w:t>
            </w:r>
            <w:r w:rsidRPr="0022505F">
              <w:br/>
            </w:r>
            <w:r w:rsidRPr="0022505F">
              <w:t xml:space="preserve">PPP contract annexes and appendixes. </w:t>
            </w:r>
          </w:p>
        </w:tc>
      </w:tr>
      <w:tr w:rsidRPr="0022505F" w:rsidR="00700C6A" w:rsidTr="52DA50DD" w14:paraId="1340828C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480928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4381549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539672F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53B93A6C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CDCFAE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3492DCD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012F0B4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311DDB64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40310E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4ACCD22" w14:textId="4F177202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7FCD0AEB">
              <w:rPr>
                <w:rFonts w:ascii="Calibri" w:hAnsi="Calibri" w:eastAsia="Times New Roman" w:cs="Calibri"/>
                <w:color w:val="000000" w:themeColor="text1"/>
              </w:rPr>
              <w:t>The procuring authority also publishes any subsequent amendment made to the PPP contract</w:t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*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44648F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1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the amendments are available by request and published online. 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0.5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only available by request.</w:t>
            </w:r>
          </w:p>
        </w:tc>
      </w:tr>
      <w:tr w:rsidRPr="0022505F" w:rsidR="00700C6A" w:rsidTr="52DA50DD" w14:paraId="59B5A879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1764EC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12B87AF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4A520D5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7B635064" w14:textId="77777777">
        <w:trPr>
          <w:trHeight w:val="900"/>
        </w:trPr>
        <w:tc>
          <w:tcPr>
            <w:tcW w:w="1665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90D0CC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Contract Management</w:t>
            </w: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4B06B42" w14:textId="582D7180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procuring or contract management authority establishes a system to manage the implementation of the PPP contract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F0FC6E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2FECF86F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C100F8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F3089FA" w14:textId="62682885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PPP management tools are available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42A372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0.2 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if a regulatory provision includes the establishment of a PPP contract team. 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0.2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a regulatory provision includes the participation of the members of the PPP contract management team in the PPP procurement process.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0.2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a regulatory provision includes the elaboration of a PPP implementation manual or an equivalent document.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0.2 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if a regulatory provision includes the adoption of training programs. 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0.2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a regulatory provision includes the adoption of a risk mitigation mechanism.</w:t>
            </w:r>
          </w:p>
        </w:tc>
      </w:tr>
      <w:tr w:rsidRPr="0022505F" w:rsidR="00700C6A" w:rsidTr="52DA50DD" w14:paraId="1A1E6C14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1038E5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7077AB0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39E8A06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22411068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C24FF1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525A648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70CE723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128A5CE8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51F3C4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0A572E4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4D9646A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3898DC12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11ADC6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5E86A7D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6EE110E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32F8F9A0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5B3F6A8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AE62AD6" w14:textId="50E75B2B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PPP contract management team members are required to meet specific qualifications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B06284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specific qualifications are detailed in the regulatory framework.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0.5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qualifications are required without specific detail.</w:t>
            </w:r>
          </w:p>
        </w:tc>
      </w:tr>
      <w:tr w:rsidRPr="0022505F" w:rsidR="00700C6A" w:rsidTr="52DA50DD" w14:paraId="0FA9F017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48D491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0B3ABD2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6777059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3D02363C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56C6B7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B6458AD" w14:textId="09E6D236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procuring or contract</w:t>
            </w:r>
            <w:r>
              <w:rPr>
                <w:rFonts w:ascii="Calibri" w:hAnsi="Calibri" w:eastAsia="Times New Roman" w:cs="Calibri"/>
                <w:color w:val="000000"/>
              </w:rPr>
              <w:t>-</w:t>
            </w:r>
            <w:r w:rsidRPr="0022505F">
              <w:rPr>
                <w:rFonts w:ascii="Calibri" w:hAnsi="Calibri" w:eastAsia="Times New Roman" w:cs="Calibri"/>
                <w:color w:val="000000"/>
              </w:rPr>
              <w:t>management authority establishes a system for tracking progress and completion of construction works under a PPP contract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3AABC8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1F066B05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8E75F2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F3A66AE" w14:textId="233C4534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7FCD0AEB">
              <w:rPr>
                <w:rFonts w:ascii="Calibri" w:hAnsi="Calibri" w:eastAsia="Times New Roman" w:cs="Calibri"/>
                <w:color w:val="000000" w:themeColor="text1"/>
              </w:rPr>
              <w:t>The procuring or contract management authority makes PPP construction information available to the public</w:t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*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E8229A7" w14:textId="08D94A7E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1</w:t>
            </w:r>
            <w:r w:rsidRPr="7FCD0AEB">
              <w:rPr>
                <w:rFonts w:ascii="Calibri" w:hAnsi="Calibri" w:eastAsia="Times New Roman" w:cs="Calibri"/>
                <w:color w:val="000000" w:themeColor="text1"/>
              </w:rPr>
              <w:t xml:space="preserve"> if a regulatory provision mandates the availability of PPP construction information to the public.</w:t>
            </w:r>
          </w:p>
        </w:tc>
      </w:tr>
      <w:tr w:rsidRPr="0022505F" w:rsidR="00700C6A" w:rsidTr="52DA50DD" w14:paraId="1623F1B5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544472B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0F280EB" w14:textId="756F3A18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7FCD0AEB">
              <w:rPr>
                <w:rFonts w:ascii="Calibri" w:hAnsi="Calibri" w:eastAsia="Times New Roman" w:cs="Calibri"/>
                <w:color w:val="000000" w:themeColor="text1"/>
              </w:rPr>
              <w:t>The PPP construction performance information is available online</w:t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*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248A36B" w14:textId="503DFA51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 xml:space="preserve">A score of 1 </w:t>
            </w:r>
            <w:r w:rsidRPr="7FCD0AEB">
              <w:rPr>
                <w:rFonts w:ascii="Calibri" w:hAnsi="Calibri" w:eastAsia="Times New Roman" w:cs="Calibri"/>
                <w:color w:val="000000" w:themeColor="text1"/>
              </w:rPr>
              <w:t>if yes</w:t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.</w:t>
            </w:r>
          </w:p>
        </w:tc>
      </w:tr>
      <w:tr w:rsidRPr="0022505F" w:rsidR="00700C6A" w:rsidTr="52DA50DD" w14:paraId="5C21B914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7BFC62E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C6C0474" w14:textId="5846F56E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procuring or contract management authority establishes a monitoring and evaluation system of the PPP contract implementation after construction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6F38E6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3BBAD1A1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4C6287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10BC5F6" w14:textId="35427299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Mechanisms included in the PPP contract’s monitoring and evaluation system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BB62897" w14:textId="0C4E310E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0.143</w:t>
            </w:r>
            <w:r w:rsidRPr="7FCD0AEB">
              <w:rPr>
                <w:rFonts w:ascii="Calibri" w:hAnsi="Calibri" w:eastAsia="Times New Roman" w:cs="Calibri"/>
                <w:color w:val="000000" w:themeColor="text1"/>
              </w:rPr>
              <w:t xml:space="preserve"> if a regulatory framework provides for the payments to be linked to performance.</w:t>
            </w:r>
            <w:r>
              <w:br/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0.143</w:t>
            </w:r>
            <w:r w:rsidRPr="7FCD0AEB">
              <w:rPr>
                <w:rFonts w:ascii="Calibri" w:hAnsi="Calibri" w:eastAsia="Times New Roman" w:cs="Calibri"/>
                <w:color w:val="000000" w:themeColor="text1"/>
              </w:rPr>
              <w:t xml:space="preserve"> if the regulatory framework provides for performance to be assessed against evaluation criteria set in the tender documents and the contract.</w:t>
            </w:r>
            <w:r>
              <w:br/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0.143</w:t>
            </w:r>
            <w:r w:rsidRPr="7FCD0AEB">
              <w:rPr>
                <w:rFonts w:ascii="Calibri" w:hAnsi="Calibri" w:eastAsia="Times New Roman" w:cs="Calibri"/>
                <w:color w:val="000000" w:themeColor="text1"/>
              </w:rPr>
              <w:t xml:space="preserve"> if the regulatory framework establishes the possibility of abating (reducing) payments for non-performance of operating obligations.</w:t>
            </w:r>
            <w:r>
              <w:br/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0.143</w:t>
            </w:r>
            <w:r w:rsidRPr="7FCD0AEB">
              <w:rPr>
                <w:rFonts w:ascii="Calibri" w:hAnsi="Calibri" w:eastAsia="Times New Roman" w:cs="Calibri"/>
                <w:color w:val="000000" w:themeColor="text1"/>
              </w:rPr>
              <w:t xml:space="preserve"> if a regulatory provision mandates the private partner to provide periodic operational and financial data.</w:t>
            </w:r>
            <w:r>
              <w:br/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0.143</w:t>
            </w:r>
            <w:r w:rsidRPr="7FCD0AEB">
              <w:rPr>
                <w:rFonts w:ascii="Calibri" w:hAnsi="Calibri" w:eastAsia="Times New Roman" w:cs="Calibri"/>
                <w:color w:val="000000" w:themeColor="text1"/>
              </w:rPr>
              <w:t xml:space="preserve"> if a regulatory provision mandates the procuring or contract-management authority to periodically gather information on the performance of the PPP contract.</w:t>
            </w:r>
            <w:r>
              <w:br/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0.143</w:t>
            </w:r>
            <w:r w:rsidRPr="7FCD0AEB">
              <w:rPr>
                <w:rFonts w:ascii="Calibri" w:hAnsi="Calibri" w:eastAsia="Times New Roman" w:cs="Calibri"/>
                <w:color w:val="000000" w:themeColor="text1"/>
              </w:rPr>
              <w:t xml:space="preserve"> if a regulatory provision mandates the availability of the PPP contract-performance information to the public.</w:t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*</w:t>
            </w:r>
            <w:r>
              <w:br/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0.143</w:t>
            </w:r>
            <w:r w:rsidRPr="7FCD0AEB">
              <w:rPr>
                <w:rFonts w:ascii="Calibri" w:hAnsi="Calibri" w:eastAsia="Times New Roman" w:cs="Calibri"/>
                <w:color w:val="000000" w:themeColor="text1"/>
              </w:rPr>
              <w:t xml:space="preserve"> if a regulatory provision mandates the availability of the PPP contract-performance information online.</w:t>
            </w:r>
            <w:r w:rsidRPr="7FCD0AEB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*</w:t>
            </w:r>
          </w:p>
        </w:tc>
      </w:tr>
      <w:tr w:rsidRPr="0022505F" w:rsidR="00700C6A" w:rsidTr="52DA50DD" w14:paraId="6BD56734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908D71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332F8F4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42976F8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10AF8FA0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74E5171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13B2FE0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54C75EE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03C8BBAB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A259D9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501C0AC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5ED6CC2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7A401438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6D4476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58C3B0F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6669450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2C80F762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754B2B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5759C30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299B5FC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7EB0275B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A9F314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783195D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214DD29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5FB56E81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6E2CF7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63DB005" w14:textId="5FA1C4F5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Foreign companies are prohibited from repatriating the income resulting from the operations of PPP contracts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796749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no prohibition is in place.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foreign companies are prohibited from repatriating the income resulting from the operations of PPP contracts.</w:t>
            </w:r>
          </w:p>
        </w:tc>
      </w:tr>
      <w:tr w:rsidRPr="0022505F" w:rsidR="00700C6A" w:rsidTr="52DA50DD" w14:paraId="458F80CC" w14:textId="77777777">
        <w:trPr>
          <w:trHeight w:val="15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E5D22E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610E22A" w14:textId="5C0DD314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regulatory framework (including standard contractual clauses) expressly regulates a change in the structure (stakeholder composition) of private partner and/or assignment of the PPP contract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0C154D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1184F529" w14:textId="77777777">
        <w:trPr>
          <w:trHeight w:val="18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D4CD9E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84FDA1D" w14:textId="0143BCCE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 xml:space="preserve">The regulatory framework (including standard contractual clauses) specifically regulates </w:t>
            </w:r>
            <w:r>
              <w:rPr>
                <w:rFonts w:ascii="Calibri" w:hAnsi="Calibri" w:eastAsia="Times New Roman" w:cs="Calibri"/>
                <w:color w:val="000000"/>
              </w:rPr>
              <w:t xml:space="preserve">specific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circumstances regarding the change in the structure (stakeholder composition) of private partner and/or assignment of the PPP contract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A6F8605" w14:textId="44F39911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5AEAD57F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0.5</w:t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 xml:space="preserve"> if any change in private partner during an initial period is regulated (e.g., construction and first five years of operation).</w:t>
            </w:r>
            <w:r>
              <w:br/>
            </w:r>
            <w:r w:rsidRPr="5AEAD57F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0.5</w:t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 xml:space="preserve"> if a change affecting the controlling interest requires the replacing entity to meet the same technical qualifications as the original operator.</w:t>
            </w:r>
          </w:p>
        </w:tc>
      </w:tr>
      <w:tr w:rsidRPr="0022505F" w:rsidR="00700C6A" w:rsidTr="52DA50DD" w14:paraId="6B8E339F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4BDDC8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72C19DC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08CDBAE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0DA77C64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95F59E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A094949" w14:textId="346229B2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regulatory framework (including standard contractual clauses) expressly regulates the modification or renegotiation of the PPP contract (once the contract is signed)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14D693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137C5662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D5BC9D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55B9742" w14:textId="34E65A58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Modification or renegotiation of the PPP contract requires approval from a government authority, other than the procuring authority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5C6A62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39DE3205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40AADA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8B53836" w14:textId="7F2F5825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regulatory framework specifically regulates circumstances regarding modification or renegotiation of the PPP contract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B3A4735" w14:textId="45094A95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5AEAD57F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 xml:space="preserve">A score of 0.167 </w:t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>if a change in the scope and/or object of the contract is expressly regulated.</w:t>
            </w:r>
            <w:r>
              <w:br/>
            </w:r>
            <w:r w:rsidRPr="5AEAD57F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0.167</w:t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 xml:space="preserve"> if a threshold for a new tender is expressly regulated. </w:t>
            </w:r>
            <w:r>
              <w:br/>
            </w:r>
            <w:r w:rsidRPr="5AEAD57F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0.167</w:t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 xml:space="preserve"> if a change in the risk allocation of the contract is expressly regulated.</w:t>
            </w:r>
            <w:r>
              <w:br/>
            </w:r>
            <w:r w:rsidRPr="5AEAD57F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0.167</w:t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 xml:space="preserve"> if a change in the financial and/or economic balance of the contract is expressly regulated.</w:t>
            </w:r>
            <w:r>
              <w:br/>
            </w:r>
            <w:r w:rsidRPr="5AEAD57F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0.167</w:t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 xml:space="preserve"> if a change in the investment plan or duration of the contract is expressly regulated.</w:t>
            </w:r>
            <w:r>
              <w:br/>
            </w:r>
            <w:r w:rsidRPr="5AEAD57F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A score of 0.167</w:t>
            </w:r>
            <w:r w:rsidRPr="5AEAD57F">
              <w:rPr>
                <w:rFonts w:ascii="Calibri" w:hAnsi="Calibri" w:eastAsia="Times New Roman" w:cs="Calibri"/>
                <w:color w:val="000000" w:themeColor="text1"/>
              </w:rPr>
              <w:t xml:space="preserve"> if a change in the agreed price or tariff is expressly regulated.</w:t>
            </w:r>
          </w:p>
        </w:tc>
      </w:tr>
      <w:tr w:rsidRPr="0022505F" w:rsidR="00700C6A" w:rsidTr="52DA50DD" w14:paraId="4E0D0B4F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C31ACC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38BF1D2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16CE0B2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6131AF71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577C13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3E3C744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3045E06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44D77B41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A247DA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74F6712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2D60939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53B57C27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9A0560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371186E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36718B3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1E1107F7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7468BAE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70D849B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3490410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5B9AF93D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E6B57C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71397AE" w14:textId="115F7933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procuring authority can unilaterally modify the PPP contract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5AEC9F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1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unilateral modification without approval from a government authority other than the procuring authority is not possible.</w:t>
            </w:r>
          </w:p>
        </w:tc>
      </w:tr>
      <w:tr w:rsidRPr="0022505F" w:rsidR="00700C6A" w:rsidTr="52DA50DD" w14:paraId="0C1A297A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358712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2F8BBE7" w14:textId="16B95EB0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regulatory framework (including standard contractual clauses) expressly regulates circumstances that may occur during the life of the PPP contract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B4D809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0.2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force majeure is expressly regulated.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0.2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material adverse government action is expressly regulated.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0.2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change in the law is expressly regulated.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0.2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refinancing is expressly regulated.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0.2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subcontracting is expressly regulated.</w:t>
            </w:r>
          </w:p>
        </w:tc>
      </w:tr>
      <w:tr w:rsidRPr="0022505F" w:rsidR="00700C6A" w:rsidTr="52DA50DD" w14:paraId="652263BC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2B5E35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76DF7F6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7726B95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011CCD68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73590E7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3A8BFB8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273CB12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6B1A2EC7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900B1F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3AB96BB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766615E2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00D10575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6817C6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108F76C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6ACCA2E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58A4F5B3" w14:textId="77777777">
        <w:trPr>
          <w:trHeight w:val="15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DCB114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261A37D" w14:textId="60725283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 xml:space="preserve">The regulatory framework (including standard contractual clauses) allows for </w:t>
            </w:r>
            <w:r>
              <w:rPr>
                <w:rFonts w:ascii="Calibri" w:hAnsi="Calibri" w:eastAsia="Times New Roman" w:cs="Calibri"/>
                <w:color w:val="000000"/>
              </w:rPr>
              <w:t>alternative dispute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mechanisms to address disputes arising from the implementation of PPP contracts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6C9AC5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766FED69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4B72C27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C9B6BC2" w14:textId="1CD45DDC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Arbitration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available for disputes arising from the implementation of PPP contracts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181B61C" w14:textId="1A21747A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1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domestic and international arbitration is available as ADR.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0.5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</w:t>
            </w:r>
            <w:r>
              <w:rPr>
                <w:rFonts w:ascii="Calibri" w:hAnsi="Calibri" w:eastAsia="Times New Roman" w:cs="Calibri"/>
                <w:color w:val="000000"/>
              </w:rPr>
              <w:t xml:space="preserve">only 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domestic arbitration is available as ADR. </w:t>
            </w:r>
          </w:p>
        </w:tc>
      </w:tr>
      <w:tr w:rsidRPr="0022505F" w:rsidR="00700C6A" w:rsidTr="52DA50DD" w14:paraId="71CC0103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EF3D2C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2AEACD7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0CD9945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08E566F9" w14:textId="77777777">
        <w:trPr>
          <w:trHeight w:val="3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A4FC8F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1DCEBA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Arbitration awards enforceable by local courts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349CD5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47753081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3AC18F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C470357" w14:textId="284B75E1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Other ADR available besides arbitration (i.e.</w:t>
            </w:r>
            <w:r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mediation)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B57F64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0C497D1C" w14:textId="77777777">
        <w:trPr>
          <w:trHeight w:val="18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75D2A47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CFC871B" w14:textId="5168A8DA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regulatory framework (including standard contractual clauses) allows the lenders to take control of the PPP project (lender step-in right) if either the private partner defaults or the PPP contract is under threat of termination for failure to meet service obligations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ED7E5D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39131110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7A51417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A491EBE" w14:textId="372281CC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Regulation of lender’s step-in rights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22D0E9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1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they are expressly regulated by the regulatory framework.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0.5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a direct agreement is expressly required to be signed with the lenders.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0.5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they are expressly required to be regulated in the contract. </w:t>
            </w:r>
          </w:p>
        </w:tc>
      </w:tr>
      <w:tr w:rsidRPr="0022505F" w:rsidR="00700C6A" w:rsidTr="52DA50DD" w14:paraId="640B582F" w14:textId="77777777">
        <w:trPr>
          <w:trHeight w:val="45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B82649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4458A24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17577ACE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140346E1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242F5B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7DD943DF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130DAC6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40AE844B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5CC2D3A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93F2E39" w14:textId="41DA375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regulatory framework (including standard contractual clauses) expressly establishes the grounds for termination of a PPP contract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7DD182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4DC169A6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021619D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24EA6330" w14:textId="6B89E25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regulatory framework (including standard contractual clauses) also establishes the consequences for the termination of the PPP contract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EEBFB9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 score of 1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if yes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.</w:t>
            </w:r>
          </w:p>
        </w:tc>
      </w:tr>
      <w:tr w:rsidRPr="0022505F" w:rsidR="00700C6A" w:rsidTr="52DA50DD" w14:paraId="2BEF977E" w14:textId="77777777">
        <w:trPr>
          <w:trHeight w:val="900"/>
        </w:trPr>
        <w:tc>
          <w:tcPr>
            <w:tcW w:w="1665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0FFED96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USP</w:t>
            </w: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EE60A12" w14:textId="23BD065D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regulatory framework prohibits unsolicited proposals</w:t>
            </w:r>
            <w:r>
              <w:rPr>
                <w:rFonts w:ascii="Calibri" w:hAnsi="Calibri" w:eastAsia="Times New Roman" w:cs="Calibri"/>
                <w:color w:val="000000"/>
              </w:rPr>
              <w:t>,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</w:rPr>
              <w:t>or USPS are not regulated but do not happen in practice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A1D3859" w14:textId="03CD38D6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Thematic area </w:t>
            </w:r>
            <w:r w:rsidR="00903AB8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is </w:t>
            </w: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n</w:t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ot scored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(and expressly stated) when not regulated and not used in practice and when explicitly prohibited.</w:t>
            </w:r>
          </w:p>
        </w:tc>
      </w:tr>
      <w:tr w:rsidRPr="0022505F" w:rsidR="00700C6A" w:rsidTr="52DA50DD" w14:paraId="458B6FE0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193969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605D6B5" w14:textId="25A9E0D9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procuring authority conducts an assessment to evaluate unsolicited proposals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90AB72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1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yes.</w:t>
            </w:r>
          </w:p>
        </w:tc>
      </w:tr>
      <w:tr w:rsidRPr="0022505F" w:rsidR="00700C6A" w:rsidTr="52DA50DD" w14:paraId="181B1757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14FB05B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392D4D9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procuring authority conducts a vetting procedure and/or pre-feasibility analysis before fully assessing the unsolicited proposal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A05FB4A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1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there is a vetting procedure. </w:t>
            </w:r>
          </w:p>
        </w:tc>
      </w:tr>
      <w:tr w:rsidRPr="0022505F" w:rsidR="00700C6A" w:rsidTr="52DA50DD" w14:paraId="3306C852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625B186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BC32EC8" w14:textId="0123AE1E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evaluation assessment ensures that the unsolicited proposal is consistent with the existing government priorities</w:t>
            </w:r>
          </w:p>
        </w:tc>
        <w:tc>
          <w:tcPr>
            <w:tcW w:w="4311" w:type="dxa"/>
            <w:vMerge w:val="restart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69E69DEC" w14:textId="65ECA3FE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1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a specific procedure is detailed in the regulatory framework.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0.5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the regulatory framework sets such </w:t>
            </w:r>
            <w:r>
              <w:rPr>
                <w:rFonts w:ascii="Calibri" w:hAnsi="Calibri" w:eastAsia="Times New Roman" w:cs="Calibri"/>
                <w:color w:val="000000"/>
              </w:rPr>
              <w:t xml:space="preserve">a </w:t>
            </w:r>
            <w:r w:rsidRPr="0022505F">
              <w:rPr>
                <w:rFonts w:ascii="Calibri" w:hAnsi="Calibri" w:eastAsia="Times New Roman" w:cs="Calibri"/>
                <w:color w:val="000000"/>
              </w:rPr>
              <w:t>goal without establishing specific procedures to achieve it.</w:t>
            </w:r>
          </w:p>
        </w:tc>
      </w:tr>
      <w:tr w:rsidRPr="0022505F" w:rsidR="00700C6A" w:rsidTr="52DA50DD" w14:paraId="1FFBC0D5" w14:textId="77777777">
        <w:trPr>
          <w:trHeight w:val="6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263FB81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vMerge/>
            <w:tcMar/>
            <w:vAlign w:val="center"/>
            <w:hideMark/>
          </w:tcPr>
          <w:p w:rsidRPr="0022505F" w:rsidR="00700C6A" w:rsidP="00F20017" w:rsidRDefault="00700C6A" w14:paraId="758572E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311" w:type="dxa"/>
            <w:vMerge/>
            <w:tcMar/>
            <w:vAlign w:val="center"/>
            <w:hideMark/>
          </w:tcPr>
          <w:p w:rsidRPr="0022505F" w:rsidR="00700C6A" w:rsidP="00F20017" w:rsidRDefault="00700C6A" w14:paraId="1B9655D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2505F" w:rsidR="00700C6A" w:rsidTr="52DA50DD" w14:paraId="0C0190F3" w14:textId="77777777">
        <w:trPr>
          <w:trHeight w:val="9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18217EA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8039265" w14:textId="50DB5ABD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>The procuring authority initiates a competitive PPP procurement procedure when proceeding with the unsolicited proposal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C141777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1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yes.</w:t>
            </w:r>
          </w:p>
        </w:tc>
      </w:tr>
      <w:tr w:rsidRPr="0022505F" w:rsidR="00700C6A" w:rsidTr="52DA50DD" w14:paraId="256F5743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3226A1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4A4C7D1F" w14:textId="0A34D41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 xml:space="preserve">The procuring authority grants a minimum </w:t>
            </w:r>
            <w:proofErr w:type="gramStart"/>
            <w:r w:rsidRPr="0022505F">
              <w:rPr>
                <w:rFonts w:ascii="Calibri" w:hAnsi="Calibri" w:eastAsia="Times New Roman" w:cs="Calibri"/>
                <w:color w:val="000000"/>
              </w:rPr>
              <w:t>period of time</w:t>
            </w:r>
            <w:proofErr w:type="gramEnd"/>
            <w:r w:rsidRPr="0022505F">
              <w:rPr>
                <w:rFonts w:ascii="Calibri" w:hAnsi="Calibri" w:eastAsia="Times New Roman" w:cs="Calibri"/>
                <w:color w:val="000000"/>
              </w:rPr>
              <w:t xml:space="preserve"> to additional prospective bidders (besides the proponent) to prepare their proposals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7368F1C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1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yes.</w:t>
            </w:r>
          </w:p>
        </w:tc>
      </w:tr>
      <w:tr w:rsidRPr="0022505F" w:rsidR="00700C6A" w:rsidTr="52DA50DD" w14:paraId="0377A388" w14:textId="77777777">
        <w:trPr>
          <w:trHeight w:val="1200"/>
        </w:trPr>
        <w:tc>
          <w:tcPr>
            <w:tcW w:w="1665" w:type="dxa"/>
            <w:vMerge/>
            <w:tcMar/>
            <w:vAlign w:val="center"/>
            <w:hideMark/>
          </w:tcPr>
          <w:p w:rsidRPr="0022505F" w:rsidR="00700C6A" w:rsidP="00F20017" w:rsidRDefault="00700C6A" w14:paraId="3B735E23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53EF326A" w14:textId="27B9239D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color w:val="000000"/>
              </w:rPr>
              <w:t xml:space="preserve">Legally required minimum </w:t>
            </w:r>
            <w:proofErr w:type="gramStart"/>
            <w:r w:rsidRPr="0022505F">
              <w:rPr>
                <w:rFonts w:ascii="Calibri" w:hAnsi="Calibri" w:eastAsia="Times New Roman" w:cs="Calibri"/>
                <w:color w:val="000000"/>
              </w:rPr>
              <w:t>period of time</w:t>
            </w:r>
            <w:proofErr w:type="gramEnd"/>
            <w:r w:rsidRPr="0022505F">
              <w:rPr>
                <w:rFonts w:ascii="Calibri" w:hAnsi="Calibri" w:eastAsia="Times New Roman" w:cs="Calibri"/>
                <w:color w:val="000000"/>
              </w:rPr>
              <w:t xml:space="preserve"> in calendar days</w:t>
            </w:r>
          </w:p>
        </w:tc>
        <w:tc>
          <w:tcPr>
            <w:tcW w:w="4311" w:type="dxa"/>
            <w:shd w:val="clear" w:color="auto" w:fill="auto"/>
            <w:tcMar/>
            <w:vAlign w:val="center"/>
            <w:hideMark/>
          </w:tcPr>
          <w:p w:rsidRPr="0022505F" w:rsidR="00700C6A" w:rsidP="00F20017" w:rsidRDefault="00700C6A" w14:paraId="1A6DF43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</w:rPr>
            </w:pP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1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the legally required minimum </w:t>
            </w:r>
            <w:proofErr w:type="gramStart"/>
            <w:r w:rsidRPr="0022505F">
              <w:rPr>
                <w:rFonts w:ascii="Calibri" w:hAnsi="Calibri" w:eastAsia="Times New Roman" w:cs="Calibri"/>
                <w:color w:val="000000"/>
              </w:rPr>
              <w:t>period of time</w:t>
            </w:r>
            <w:proofErr w:type="gramEnd"/>
            <w:r w:rsidRPr="0022505F">
              <w:rPr>
                <w:rFonts w:ascii="Calibri" w:hAnsi="Calibri" w:eastAsia="Times New Roman" w:cs="Calibri"/>
                <w:color w:val="000000"/>
              </w:rPr>
              <w:t xml:space="preserve"> is at least 90 calendar days.</w:t>
            </w:r>
            <w:r w:rsidRPr="0022505F">
              <w:rPr>
                <w:rFonts w:ascii="Calibri" w:hAnsi="Calibri" w:eastAsia="Times New Roman" w:cs="Calibri"/>
                <w:color w:val="000000"/>
              </w:rPr>
              <w:br/>
            </w:r>
            <w:r w:rsidRPr="0022505F">
              <w:rPr>
                <w:rFonts w:ascii="Calibri" w:hAnsi="Calibri" w:eastAsia="Times New Roman" w:cs="Calibri"/>
                <w:b/>
                <w:bCs/>
                <w:color w:val="000000"/>
              </w:rPr>
              <w:t>A score of 0.5</w:t>
            </w:r>
            <w:r w:rsidRPr="0022505F">
              <w:rPr>
                <w:rFonts w:ascii="Calibri" w:hAnsi="Calibri" w:eastAsia="Times New Roman" w:cs="Calibri"/>
                <w:color w:val="000000"/>
              </w:rPr>
              <w:t xml:space="preserve"> if the legally required minimum period of time is at least 60 calendar days.</w:t>
            </w:r>
          </w:p>
        </w:tc>
      </w:tr>
    </w:tbl>
    <w:p w:rsidR="00F45F00" w:rsidP="00F20017" w:rsidRDefault="00F45F00" w14:paraId="1FC938DA" w14:textId="77777777">
      <w:pPr>
        <w:jc w:val="both"/>
      </w:pPr>
    </w:p>
    <w:sectPr w:rsidR="00F45F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0ED7" w:rsidP="0022505F" w:rsidRDefault="008B0ED7" w14:paraId="63FA6D42" w14:textId="77777777">
      <w:pPr>
        <w:spacing w:after="0" w:line="240" w:lineRule="auto"/>
      </w:pPr>
      <w:r>
        <w:separator/>
      </w:r>
    </w:p>
  </w:endnote>
  <w:endnote w:type="continuationSeparator" w:id="0">
    <w:p w:rsidR="008B0ED7" w:rsidP="0022505F" w:rsidRDefault="008B0ED7" w14:paraId="0D2A01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42F" w:rsidRDefault="00E4242F" w14:paraId="00F8E27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42F" w:rsidP="00E4242F" w:rsidRDefault="00E4242F" w14:paraId="13D3C2B2" w14:textId="35654497">
    <w:pPr>
      <w:pStyle w:val="Footer"/>
      <w:rPr>
        <w:b/>
        <w:bCs/>
      </w:rPr>
    </w:pPr>
    <w:r w:rsidRPr="00E4242F">
      <w:rPr>
        <w:b/>
        <w:bCs/>
      </w:rPr>
      <w:t>*</w:t>
    </w:r>
    <w:r>
      <w:rPr>
        <w:b/>
        <w:bCs/>
      </w:rPr>
      <w:t xml:space="preserve"> </w:t>
    </w:r>
    <w:r w:rsidRPr="00E4242F">
      <w:t xml:space="preserve">Areas included in the calculation of the </w:t>
    </w:r>
    <w:r w:rsidRPr="00E4242F">
      <w:rPr>
        <w:i/>
        <w:iCs/>
      </w:rPr>
      <w:t>Disclosure of Information</w:t>
    </w:r>
    <w:r w:rsidRPr="00E4242F">
      <w:t xml:space="preserve"> scores.</w:t>
    </w:r>
  </w:p>
  <w:p w:rsidR="00E4242F" w:rsidRDefault="00E4242F" w14:paraId="797820C1" w14:textId="00ADB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42F" w:rsidRDefault="00E4242F" w14:paraId="1044107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0ED7" w:rsidP="0022505F" w:rsidRDefault="008B0ED7" w14:paraId="7B7D8384" w14:textId="77777777">
      <w:pPr>
        <w:spacing w:after="0" w:line="240" w:lineRule="auto"/>
      </w:pPr>
      <w:r>
        <w:separator/>
      </w:r>
    </w:p>
  </w:footnote>
  <w:footnote w:type="continuationSeparator" w:id="0">
    <w:p w:rsidR="008B0ED7" w:rsidP="0022505F" w:rsidRDefault="008B0ED7" w14:paraId="3041AF7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42F" w:rsidRDefault="00E4242F" w14:paraId="526DD1B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42F" w:rsidRDefault="00E4242F" w14:paraId="417BDDF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42F" w:rsidRDefault="00E4242F" w14:paraId="48667F9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7720"/>
    <w:multiLevelType w:val="hybridMultilevel"/>
    <w:tmpl w:val="51E07F02"/>
    <w:lvl w:ilvl="0" w:tplc="610A550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613B9E"/>
    <w:multiLevelType w:val="hybridMultilevel"/>
    <w:tmpl w:val="54C47A54"/>
    <w:lvl w:ilvl="0" w:tplc="F7E4686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41313210">
    <w:abstractNumId w:val="1"/>
  </w:num>
  <w:num w:numId="2" w16cid:durableId="146296166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5F"/>
    <w:rsid w:val="00023872"/>
    <w:rsid w:val="00033C37"/>
    <w:rsid w:val="00056457"/>
    <w:rsid w:val="00111E65"/>
    <w:rsid w:val="001615E1"/>
    <w:rsid w:val="00172D6E"/>
    <w:rsid w:val="00195D37"/>
    <w:rsid w:val="001B27D9"/>
    <w:rsid w:val="001C7F00"/>
    <w:rsid w:val="001D3454"/>
    <w:rsid w:val="0022505F"/>
    <w:rsid w:val="00226432"/>
    <w:rsid w:val="00247100"/>
    <w:rsid w:val="00264E56"/>
    <w:rsid w:val="0028537D"/>
    <w:rsid w:val="00286564"/>
    <w:rsid w:val="002F1722"/>
    <w:rsid w:val="0035257D"/>
    <w:rsid w:val="003B2ED7"/>
    <w:rsid w:val="004A0A72"/>
    <w:rsid w:val="004E5708"/>
    <w:rsid w:val="00507371"/>
    <w:rsid w:val="00507BDC"/>
    <w:rsid w:val="00536868"/>
    <w:rsid w:val="005739C5"/>
    <w:rsid w:val="005E1EC3"/>
    <w:rsid w:val="0064399B"/>
    <w:rsid w:val="00700C6A"/>
    <w:rsid w:val="0073307E"/>
    <w:rsid w:val="007370B8"/>
    <w:rsid w:val="007807D2"/>
    <w:rsid w:val="007C338A"/>
    <w:rsid w:val="00824442"/>
    <w:rsid w:val="00833F1D"/>
    <w:rsid w:val="00875F48"/>
    <w:rsid w:val="00885968"/>
    <w:rsid w:val="0089100E"/>
    <w:rsid w:val="008B0ED7"/>
    <w:rsid w:val="008B7B38"/>
    <w:rsid w:val="00903AB8"/>
    <w:rsid w:val="00997AFE"/>
    <w:rsid w:val="009A542A"/>
    <w:rsid w:val="009B4FAE"/>
    <w:rsid w:val="009C6CFF"/>
    <w:rsid w:val="009C6FAD"/>
    <w:rsid w:val="00A9764D"/>
    <w:rsid w:val="00B11200"/>
    <w:rsid w:val="00B222E5"/>
    <w:rsid w:val="00B7128F"/>
    <w:rsid w:val="00B8356E"/>
    <w:rsid w:val="00BC34BA"/>
    <w:rsid w:val="00BC7318"/>
    <w:rsid w:val="00BD35BE"/>
    <w:rsid w:val="00BD4502"/>
    <w:rsid w:val="00C05A22"/>
    <w:rsid w:val="00C27F81"/>
    <w:rsid w:val="00C57907"/>
    <w:rsid w:val="00CB117B"/>
    <w:rsid w:val="00D33DA1"/>
    <w:rsid w:val="00D43DC7"/>
    <w:rsid w:val="00D56CD9"/>
    <w:rsid w:val="00D600AC"/>
    <w:rsid w:val="00D65CAE"/>
    <w:rsid w:val="00DA08E3"/>
    <w:rsid w:val="00DC140C"/>
    <w:rsid w:val="00E260BB"/>
    <w:rsid w:val="00E26780"/>
    <w:rsid w:val="00E4242F"/>
    <w:rsid w:val="00E8664F"/>
    <w:rsid w:val="00EB1FA1"/>
    <w:rsid w:val="00EC6643"/>
    <w:rsid w:val="00F01E8C"/>
    <w:rsid w:val="00F03A88"/>
    <w:rsid w:val="00F07B5D"/>
    <w:rsid w:val="00F17170"/>
    <w:rsid w:val="00F20017"/>
    <w:rsid w:val="00F45F00"/>
    <w:rsid w:val="00F472BD"/>
    <w:rsid w:val="00F67207"/>
    <w:rsid w:val="00F93683"/>
    <w:rsid w:val="00FD1377"/>
    <w:rsid w:val="00FF40DC"/>
    <w:rsid w:val="01CADF8F"/>
    <w:rsid w:val="073C57D7"/>
    <w:rsid w:val="0A597810"/>
    <w:rsid w:val="0C6B29CB"/>
    <w:rsid w:val="107FE563"/>
    <w:rsid w:val="15492C48"/>
    <w:rsid w:val="1C157773"/>
    <w:rsid w:val="1E7A4CCF"/>
    <w:rsid w:val="1F62EB0B"/>
    <w:rsid w:val="217A30FA"/>
    <w:rsid w:val="22E09172"/>
    <w:rsid w:val="25C56B02"/>
    <w:rsid w:val="27D38B9A"/>
    <w:rsid w:val="28065D88"/>
    <w:rsid w:val="28E83BD5"/>
    <w:rsid w:val="2C087115"/>
    <w:rsid w:val="2C3D9405"/>
    <w:rsid w:val="3A56A13B"/>
    <w:rsid w:val="4646E240"/>
    <w:rsid w:val="48A1BC62"/>
    <w:rsid w:val="4E531DFD"/>
    <w:rsid w:val="52DA50DD"/>
    <w:rsid w:val="53AA98F8"/>
    <w:rsid w:val="5A5B9E13"/>
    <w:rsid w:val="5AEAD57F"/>
    <w:rsid w:val="5E542334"/>
    <w:rsid w:val="5F2FAFC7"/>
    <w:rsid w:val="61118DE6"/>
    <w:rsid w:val="68626974"/>
    <w:rsid w:val="6B0562AE"/>
    <w:rsid w:val="6BCBAD92"/>
    <w:rsid w:val="6EB7FF06"/>
    <w:rsid w:val="6F8DF484"/>
    <w:rsid w:val="729B0B27"/>
    <w:rsid w:val="76AA0926"/>
    <w:rsid w:val="77CE417A"/>
    <w:rsid w:val="7C8D0758"/>
    <w:rsid w:val="7FC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694EE"/>
  <w15:chartTrackingRefBased/>
  <w15:docId w15:val="{894548FB-E174-4A2A-B689-33E499E40F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76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7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10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47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10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471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242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242F"/>
  </w:style>
  <w:style w:type="paragraph" w:styleId="Footer">
    <w:name w:val="footer"/>
    <w:basedOn w:val="Normal"/>
    <w:link w:val="FooterChar"/>
    <w:uiPriority w:val="99"/>
    <w:unhideWhenUsed/>
    <w:rsid w:val="00E4242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2FA1CD102224E8CA1E1621DF1B145" ma:contentTypeVersion="13" ma:contentTypeDescription="Create a new document." ma:contentTypeScope="" ma:versionID="63e6a1b23cf588bb9b43447c08c1bab4">
  <xsd:schema xmlns:xsd="http://www.w3.org/2001/XMLSchema" xmlns:xs="http://www.w3.org/2001/XMLSchema" xmlns:p="http://schemas.microsoft.com/office/2006/metadata/properties" xmlns:ns3="1c53bedf-64ce-4ea2-987f-6fe8671ba7e8" xmlns:ns4="6e0eaf8b-8502-4887-967d-8fac88aa9db8" targetNamespace="http://schemas.microsoft.com/office/2006/metadata/properties" ma:root="true" ma:fieldsID="042b51681c747831cf95d1359ecf598a" ns3:_="" ns4:_="">
    <xsd:import namespace="1c53bedf-64ce-4ea2-987f-6fe8671ba7e8"/>
    <xsd:import namespace="6e0eaf8b-8502-4887-967d-8fac88aa9d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bedf-64ce-4ea2-987f-6fe8671ba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af8b-8502-4887-967d-8fac88aa9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39C87-8842-4F13-A4BD-01D561A4E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F27AF-9894-4401-AB2D-6081C1330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379E1-5CF4-492A-9457-21DA56B88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3bedf-64ce-4ea2-987f-6fe8671ba7e8"/>
    <ds:schemaRef ds:uri="6e0eaf8b-8502-4887-967d-8fac88aa9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Khasankhon Khamudkhanov</dc:creator>
  <keywords/>
  <dc:description/>
  <lastModifiedBy>Iana Djekic</lastModifiedBy>
  <revision>53</revision>
  <dcterms:created xsi:type="dcterms:W3CDTF">2023-06-27T15:54:00.0000000Z</dcterms:created>
  <dcterms:modified xsi:type="dcterms:W3CDTF">2023-07-06T19:05:00.6162819Z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0x010100C8D2FA1CD102224E8CA1E1621DF1B145</vt:lpwstr>
  </property>
  <property fmtid="{D5CDD505-2E9C-101B-9397-08002B2CF9AE}" pid="3" name="GrammarlyDocumentId">
    <vt:lpwstr>89dfedd44d9471bc236bf3039dfc50c035b0aa0602705a9ab8531c9de901139f</vt:lpwstr>
  </property>
</Properties>
</file>